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5986E" w14:textId="7ACE3AE1" w:rsidR="001F10D1" w:rsidRDefault="001F10D1" w:rsidP="001F10D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WEEK3</w:t>
      </w:r>
    </w:p>
    <w:p w14:paraId="134E5742" w14:textId="21F5CE3C" w:rsidR="001F10D1" w:rsidRPr="001F10D1" w:rsidRDefault="001F10D1" w:rsidP="001F10D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F10D1">
        <w:rPr>
          <w:rFonts w:ascii="Arial" w:eastAsia="Times New Roman" w:hAnsi="Arial" w:cs="Arial"/>
          <w:b/>
          <w:bCs/>
          <w:color w:val="1F1F1F"/>
          <w:sz w:val="21"/>
          <w:szCs w:val="21"/>
        </w:rPr>
        <w:t>Lesson 1: Introduction to Temporal Difference Learning</w:t>
      </w:r>
    </w:p>
    <w:p w14:paraId="3F7640D7" w14:textId="2B15CCA7" w:rsidR="001F10D1" w:rsidRDefault="001F10D1" w:rsidP="001F10D1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1F10D1">
        <w:rPr>
          <w:rFonts w:ascii="Arial" w:eastAsia="Times New Roman" w:hAnsi="Arial" w:cs="Arial"/>
          <w:color w:val="1F1F1F"/>
          <w:sz w:val="21"/>
          <w:szCs w:val="21"/>
        </w:rPr>
        <w:t>Define temporal-difference learning</w:t>
      </w:r>
    </w:p>
    <w:p w14:paraId="7E58EA98" w14:textId="2B9C778E" w:rsidR="00030FB1" w:rsidRPr="001F10D1" w:rsidRDefault="00030FB1" w:rsidP="00FC2D1A">
      <w:pPr>
        <w:shd w:val="clear" w:color="auto" w:fill="FFFFFF"/>
        <w:spacing w:before="100" w:beforeAutospacing="1" w:after="150"/>
        <w:ind w:left="1170"/>
        <w:jc w:val="center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2CA343DA" wp14:editId="73844C7E">
            <wp:extent cx="1841500" cy="120445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986" cy="122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44FC" w14:textId="667BB738" w:rsidR="001F10D1" w:rsidRDefault="001F10D1" w:rsidP="001F10D1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1F10D1">
        <w:rPr>
          <w:rFonts w:ascii="Arial" w:eastAsia="Times New Roman" w:hAnsi="Arial" w:cs="Arial"/>
          <w:color w:val="1F1F1F"/>
          <w:sz w:val="21"/>
          <w:szCs w:val="21"/>
        </w:rPr>
        <w:t>Define the temporal-difference error</w:t>
      </w:r>
    </w:p>
    <w:p w14:paraId="3330D91A" w14:textId="1BBFAF78" w:rsidR="00030FB1" w:rsidRPr="001F10D1" w:rsidRDefault="00030FB1" w:rsidP="00FC2D1A">
      <w:pPr>
        <w:shd w:val="clear" w:color="auto" w:fill="FFFFFF"/>
        <w:spacing w:before="100" w:beforeAutospacing="1" w:after="150"/>
        <w:ind w:left="1170"/>
        <w:jc w:val="center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23BB576D" wp14:editId="4F6F7939">
            <wp:extent cx="2362200" cy="108671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390" cy="110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38F6" w14:textId="342CD7CF" w:rsidR="001F10D1" w:rsidRDefault="001F10D1" w:rsidP="001F10D1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1F10D1">
        <w:rPr>
          <w:rFonts w:ascii="Arial" w:eastAsia="Times New Roman" w:hAnsi="Arial" w:cs="Arial"/>
          <w:color w:val="1F1F1F"/>
          <w:sz w:val="21"/>
          <w:szCs w:val="21"/>
        </w:rPr>
        <w:t xml:space="preserve">Understand the </w:t>
      </w:r>
      <w:proofErr w:type="gramStart"/>
      <w:r w:rsidRPr="001F10D1">
        <w:rPr>
          <w:rFonts w:ascii="Arial" w:eastAsia="Times New Roman" w:hAnsi="Arial" w:cs="Arial"/>
          <w:color w:val="1F1F1F"/>
          <w:sz w:val="21"/>
          <w:szCs w:val="21"/>
        </w:rPr>
        <w:t>TD(</w:t>
      </w:r>
      <w:proofErr w:type="gramEnd"/>
      <w:r w:rsidRPr="001F10D1">
        <w:rPr>
          <w:rFonts w:ascii="Arial" w:eastAsia="Times New Roman" w:hAnsi="Arial" w:cs="Arial"/>
          <w:color w:val="1F1F1F"/>
          <w:sz w:val="21"/>
          <w:szCs w:val="21"/>
        </w:rPr>
        <w:t>0) algorithm</w:t>
      </w:r>
    </w:p>
    <w:p w14:paraId="375FED27" w14:textId="357BA344" w:rsidR="00030FB1" w:rsidRPr="001F10D1" w:rsidRDefault="00030FB1" w:rsidP="00FC2D1A">
      <w:pPr>
        <w:shd w:val="clear" w:color="auto" w:fill="FFFFFF"/>
        <w:spacing w:before="100" w:beforeAutospacing="1" w:after="150"/>
        <w:jc w:val="center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63333E3E" wp14:editId="7FCD3D17">
            <wp:extent cx="3136900" cy="1374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742" cy="139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FECB" w14:textId="77777777" w:rsidR="001F10D1" w:rsidRPr="001F10D1" w:rsidRDefault="001F10D1" w:rsidP="001F10D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F10D1">
        <w:rPr>
          <w:rFonts w:ascii="Arial" w:eastAsia="Times New Roman" w:hAnsi="Arial" w:cs="Arial"/>
          <w:b/>
          <w:bCs/>
          <w:color w:val="1F1F1F"/>
          <w:sz w:val="21"/>
          <w:szCs w:val="21"/>
        </w:rPr>
        <w:t>Lesson 2: Advantages of TD</w:t>
      </w:r>
    </w:p>
    <w:p w14:paraId="5F41B23F" w14:textId="17F1C9A0" w:rsidR="001F10D1" w:rsidRDefault="001F10D1" w:rsidP="001F10D1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1F10D1">
        <w:rPr>
          <w:rFonts w:ascii="Arial" w:eastAsia="Times New Roman" w:hAnsi="Arial" w:cs="Arial"/>
          <w:color w:val="1F1F1F"/>
          <w:sz w:val="21"/>
          <w:szCs w:val="21"/>
        </w:rPr>
        <w:t>Understand the benefits of learning online with TD</w:t>
      </w:r>
    </w:p>
    <w:p w14:paraId="31D0AF88" w14:textId="440F964C" w:rsidR="00810887" w:rsidRPr="001F10D1" w:rsidRDefault="00810887" w:rsidP="00810887">
      <w:p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</w:rPr>
        <w:lastRenderedPageBreak/>
        <w:drawing>
          <wp:inline distT="0" distB="0" distL="0" distR="0" wp14:anchorId="2505AE6A" wp14:editId="4FCC6579">
            <wp:extent cx="4343400" cy="18672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97" cy="187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086E" w14:textId="61910A69" w:rsidR="001F10D1" w:rsidRDefault="001F10D1" w:rsidP="001F10D1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1F10D1">
        <w:rPr>
          <w:rFonts w:ascii="Arial" w:eastAsia="Times New Roman" w:hAnsi="Arial" w:cs="Arial"/>
          <w:color w:val="1F1F1F"/>
          <w:sz w:val="21"/>
          <w:szCs w:val="21"/>
        </w:rPr>
        <w:t>Identify key advantages of TD methods over Dynamic Programming and Monte Carlo methods</w:t>
      </w:r>
    </w:p>
    <w:p w14:paraId="1449477F" w14:textId="7F097188" w:rsidR="00810887" w:rsidRDefault="00810887" w:rsidP="00810887">
      <w:pPr>
        <w:numPr>
          <w:ilvl w:val="1"/>
          <w:numId w:val="2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Does not require a model of the environment. TD can directly learn from experience.</w:t>
      </w:r>
    </w:p>
    <w:p w14:paraId="28556B9D" w14:textId="2565DAD1" w:rsidR="00810887" w:rsidRDefault="00810887" w:rsidP="00810887">
      <w:pPr>
        <w:numPr>
          <w:ilvl w:val="1"/>
          <w:numId w:val="2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Online and incremental</w:t>
      </w:r>
    </w:p>
    <w:p w14:paraId="4F883A19" w14:textId="180521E3" w:rsidR="00810887" w:rsidRPr="001F10D1" w:rsidRDefault="00810887" w:rsidP="00810887">
      <w:pPr>
        <w:numPr>
          <w:ilvl w:val="1"/>
          <w:numId w:val="2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Converges faster than Monte Carlo methods</w:t>
      </w:r>
    </w:p>
    <w:p w14:paraId="5D30533A" w14:textId="77777777" w:rsidR="001F10D1" w:rsidRPr="001F10D1" w:rsidRDefault="001F10D1" w:rsidP="001F10D1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1F10D1">
        <w:rPr>
          <w:rFonts w:ascii="Arial" w:eastAsia="Times New Roman" w:hAnsi="Arial" w:cs="Arial"/>
          <w:color w:val="1F1F1F"/>
          <w:sz w:val="21"/>
          <w:szCs w:val="21"/>
        </w:rPr>
        <w:t>Identify the empirical benefits of TD learning</w:t>
      </w:r>
    </w:p>
    <w:p w14:paraId="4C9793D7" w14:textId="6CE75F62" w:rsidR="00D84C79" w:rsidRDefault="00FC2D1A" w:rsidP="00FC2D1A">
      <w:pPr>
        <w:jc w:val="center"/>
      </w:pPr>
      <w:r>
        <w:rPr>
          <w:noProof/>
        </w:rPr>
        <w:drawing>
          <wp:inline distT="0" distB="0" distL="0" distR="0" wp14:anchorId="03431416" wp14:editId="698FBBA7">
            <wp:extent cx="3060700" cy="177265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115" cy="17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C79" w:rsidSect="006F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044D9"/>
    <w:multiLevelType w:val="multilevel"/>
    <w:tmpl w:val="E252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D055B1"/>
    <w:multiLevelType w:val="multilevel"/>
    <w:tmpl w:val="6BC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D1"/>
    <w:rsid w:val="00030FB1"/>
    <w:rsid w:val="001F10D1"/>
    <w:rsid w:val="006F2D28"/>
    <w:rsid w:val="00810887"/>
    <w:rsid w:val="00D84C79"/>
    <w:rsid w:val="00FC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7E59F"/>
  <w15:chartTrackingRefBased/>
  <w15:docId w15:val="{49C8D69E-F8A5-5744-BA01-E520AA13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10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F10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0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2020-10-01T21:46:00Z</dcterms:created>
  <dcterms:modified xsi:type="dcterms:W3CDTF">2020-10-02T02:08:00Z</dcterms:modified>
</cp:coreProperties>
</file>