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C5F7C"/>
        </w:rPr>
        <w:t>GenAI Log Analysis &amp; RCA</w:t>
      </w:r>
    </w:p>
    <w:p>
      <w:r>
        <w:rPr>
          <w:i/>
          <w:color w:val="555555"/>
          <w:sz w:val="32"/>
        </w:rPr>
        <w:t>Architecture — Production Index Integration</w:t>
      </w:r>
    </w:p>
    <w:p>
      <w:r>
        <w:rPr>
          <w:b w:val="0"/>
          <w:i/>
          <w:color w:val="555555"/>
        </w:rPr>
        <w:t>Client engagement: read-only RCA layer over existing production OpenSearch logs, with proactive error monitoring and persona-aware output.</w:t>
      </w:r>
    </w:p>
    <w:p/>
    <w:p>
      <w:pPr>
        <w:pStyle w:val="Heading1"/>
      </w:pPr>
      <w:r>
        <w:rPr>
          <w:color w:val="2C5F7C"/>
        </w:rPr>
        <w:t>1. The Problem</w:t>
      </w:r>
    </w:p>
    <w:p>
      <w:r>
        <w:rPr>
          <w:b w:val="0"/>
          <w:i w:val="0"/>
        </w:rPr>
        <w:t>When something fails in a microservice production system, support engineers spend hours manually correlating logs scattered across services, with no automatic link between log timestamps and business outcomes. Knowledge doesn't compound — every engineer re-learns the same failure patterns from scratch.</w:t>
      </w:r>
    </w:p>
    <w:p>
      <w:pPr>
        <w:pStyle w:val="Heading1"/>
      </w:pPr>
      <w:r>
        <w:rPr>
          <w:color w:val="2C5F7C"/>
        </w:rPr>
        <w:t>2. The Solution</w:t>
      </w:r>
    </w:p>
    <w:p>
      <w:r>
        <w:rPr>
          <w:b w:val="0"/>
          <w:i w:val="0"/>
        </w:rPr>
        <w:t>A GenAI-powered assistant that sits on top of the client's existing, already-populated OpenSearch log indices — read-only, no changes to the existing logging pipeline. Users ask questions in plain English ("Why did ORD-12345 fail?") and get back a structured, evidence-grounded root cause analysis, citing the actual correlated log lines. The same engine also runs proactively: a background monitor scans for new errors every 10 minutes and pushes RCAs to email/Slack before anyone has to ask.</w:t>
      </w:r>
    </w:p>
    <w:p>
      <w:r>
        <w:rPr>
          <w:b w:val="0"/>
          <w:i w:val="0"/>
        </w:rPr>
        <w:t>The system is read-only against the client's log data: it never writes to the production log index. The only write path is a dedicated 'incidents-historical' knowledge base that the system itself owns, which accumulates completed RCAs over time for future similarity search.</w:t>
      </w:r>
    </w:p>
    <w:p>
      <w:pPr>
        <w:pStyle w:val="Heading1"/>
      </w:pPr>
      <w:r>
        <w:rPr>
          <w:color w:val="2C5F7C"/>
        </w:rPr>
        <w:t>3. Architecture Overview</w:t>
      </w:r>
    </w:p>
    <w:p>
      <w:pPr>
        <w:spacing w:before="80" w:after="80"/>
        <w:shd w:fill="F4F8FB"/>
      </w:pPr>
      <w:r>
        <w:rPr>
          <w:rFonts w:ascii="Consolas" w:hAnsi="Consolas"/>
          <w:sz w:val="18"/>
        </w:rPr>
        <w:t xml:space="preserve">  EXISTING CLIENT INFRASTRUCTURE (unchanged)</w:t>
        <w:br/>
        <w:t xml:space="preserve">  ─────────────────────────────────────────────────────────</w:t>
        <w:br/>
        <w:t xml:space="preserve">   Spring Boot Apps ──(Fluentbit)──&gt; Project OpenSearch Indices</w:t>
        <w:br/>
        <w:t xml:space="preserve">                                      (one per project, e.g. app_launchpad)</w:t>
        <w:br/>
        <w:br/>
        <w:t xml:space="preserve">                                              │  READ-ONLY</w:t>
        <w:br/>
        <w:t xml:space="preserve">  ═══════════════════════════════════════════▼═══════════════════════════</w:t>
        <w:br/>
        <w:t xml:space="preserve">   NEW GENAI RCA LAYER</w:t>
        <w:br/>
        <w:br/>
        <w:t xml:space="preserve">   ┌──────────────┐        ┌───────────────────────┐</w:t>
        <w:br/>
        <w:t xml:space="preserve">   │  MCP Server   │◄──────►│  incidents-historical  │  (GenAI-owned index)</w:t>
        <w:br/>
        <w:t xml:space="preserve">   │  5 tools      │        └───────────────────────┘</w:t>
        <w:br/>
        <w:t xml:space="preserve">   └──────┬────────┘</w:t>
        <w:br/>
        <w:t xml:space="preserve">          │</w:t>
        <w:br/>
        <w:t xml:space="preserve">   ┌──────▼─────────────────────┐      ┌────────────────────────────┐</w:t>
        <w:br/>
        <w:t xml:space="preserve">   │  Orchestrator (LangGraph)   │◄────►│  Proactive Monitor (Module 3) │</w:t>
        <w:br/>
        <w:t xml:space="preserve">   │  + Ollama / Claude LLM      │      │  polls every 10 min, dedups   │</w:t>
        <w:br/>
        <w:t xml:space="preserve">   │  Persona-aware synthesis    │      │  by loggingId, alerts via     │</w:t>
        <w:br/>
        <w:t xml:space="preserve">   └──────┬───────────────────────┘      │  email + Slack                │</w:t>
        <w:br/>
        <w:t xml:space="preserve">          │                              └────────────────────────────┘</w:t>
        <w:br/>
        <w:t xml:space="preserve">   ┌──────▼─────────────────────┐</w:t>
        <w:br/>
        <w:t xml:space="preserve">   │  Chat UI (React)             │</w:t>
        <w:br/>
        <w:t xml:space="preserve">   │  Project + Persona picker    │</w:t>
        <w:br/>
        <w:t xml:space="preserve">   └───────────────────────────────┘</w:t>
      </w:r>
    </w:p>
    <w:p>
      <w:r>
        <w:rPr>
          <w:b w:val="0"/>
          <w:i/>
          <w:color w:val="555555"/>
        </w:rPr>
        <w:t>Every data-access path — reads and the one write-back — goes through the MCP server. The LLM never queries OpenSearch directly; it only reasons over evidence the MCP tools retrieved. This keeps the system testable, auditable, and swappable.</w:t>
      </w:r>
    </w:p>
    <w:p>
      <w:pPr>
        <w:pStyle w:val="Heading1"/>
      </w:pPr>
      <w:r>
        <w:rPr>
          <w:color w:val="2C5F7C"/>
        </w:rPr>
        <w:t>4. The Five Modules</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shd w:fill="2C5F7C"/>
          </w:tcPr>
          <w:p>
            <w:r>
              <w:rPr>
                <w:b/>
                <w:color w:val="FFFFFF"/>
              </w:rPr>
              <w:t>#</w:t>
            </w:r>
          </w:p>
        </w:tc>
        <w:tc>
          <w:tcPr>
            <w:tcW w:type="dxa" w:w="2880"/>
            <w:shd w:fill="2C5F7C"/>
          </w:tcPr>
          <w:p>
            <w:r>
              <w:rPr>
                <w:b/>
                <w:color w:val="FFFFFF"/>
              </w:rPr>
              <w:t>Module</w:t>
            </w:r>
          </w:p>
        </w:tc>
        <w:tc>
          <w:tcPr>
            <w:tcW w:type="dxa" w:w="6192"/>
            <w:shd w:fill="2C5F7C"/>
          </w:tcPr>
          <w:p>
            <w:r>
              <w:rPr>
                <w:b/>
                <w:color w:val="FFFFFF"/>
              </w:rPr>
              <w:t>What It Does</w:t>
            </w:r>
          </w:p>
        </w:tc>
      </w:tr>
      <w:tr>
        <w:tc>
          <w:tcPr>
            <w:tcW w:type="dxa" w:w="576"/>
          </w:tcPr>
          <w:p>
            <w:r>
              <w:t>1</w:t>
            </w:r>
          </w:p>
        </w:tc>
        <w:tc>
          <w:tcPr>
            <w:tcW w:type="dxa" w:w="2880"/>
          </w:tcPr>
          <w:p>
            <w:r>
              <w:t>Production Log Retrieval Layer</w:t>
            </w:r>
          </w:p>
        </w:tc>
        <w:tc>
          <w:tcPr>
            <w:tcW w:type="dxa" w:w="6192"/>
          </w:tcPr>
          <w:p>
            <w:r>
              <w:t>Reads directly from existing, already-populated OpenSearch indices — no GenAI-owned ingestion pipeline. Two-step correlation: text-search the entity in question, then expand via the loggingId (request/trace correlation field) to pull the full connected trace.</w:t>
            </w:r>
          </w:p>
        </w:tc>
      </w:tr>
      <w:tr>
        <w:tc>
          <w:tcPr>
            <w:tcW w:type="dxa" w:w="576"/>
          </w:tcPr>
          <w:p>
            <w:r>
              <w:t>2</w:t>
            </w:r>
          </w:p>
        </w:tc>
        <w:tc>
          <w:tcPr>
            <w:tcW w:type="dxa" w:w="2880"/>
          </w:tcPr>
          <w:p>
            <w:r>
              <w:t>RCA Synthesis Engine</w:t>
            </w:r>
          </w:p>
        </w:tc>
        <w:tc>
          <w:tcPr>
            <w:tcW w:type="dxa" w:w="6192"/>
          </w:tcPr>
          <w:p>
            <w:r>
              <w:t>Happy-path short-circuit (no LLM, zero hallucination risk) when no errors are found; grounded, structured RCA (LLM) when errors are present. Hardened for partial/incomplete traces. Writes every completed RCA back to incidents-historical.</w:t>
            </w:r>
          </w:p>
        </w:tc>
      </w:tr>
      <w:tr>
        <w:tc>
          <w:tcPr>
            <w:tcW w:type="dxa" w:w="576"/>
          </w:tcPr>
          <w:p>
            <w:r>
              <w:t>3</w:t>
            </w:r>
          </w:p>
        </w:tc>
        <w:tc>
          <w:tcPr>
            <w:tcW w:type="dxa" w:w="2880"/>
          </w:tcPr>
          <w:p>
            <w:r>
              <w:t>Proactive Error Detection &amp; Alerting</w:t>
            </w:r>
          </w:p>
        </w:tc>
        <w:tc>
          <w:tcPr>
            <w:tcW w:type="dxa" w:w="6192"/>
          </w:tcPr>
          <w:p>
            <w:r>
              <w:t>Background service polling every project's index every 10 minutes, deduped one alert per distinct loggingId, auto-running the same synthesis engine and dispatching to email (DL) and Slack — no user has to ask.</w:t>
            </w:r>
          </w:p>
        </w:tc>
      </w:tr>
      <w:tr>
        <w:tc>
          <w:tcPr>
            <w:tcW w:type="dxa" w:w="576"/>
          </w:tcPr>
          <w:p>
            <w:r>
              <w:t>4</w:t>
            </w:r>
          </w:p>
        </w:tc>
        <w:tc>
          <w:tcPr>
            <w:tcW w:type="dxa" w:w="2880"/>
          </w:tcPr>
          <w:p>
            <w:r>
              <w:t>Chat UI — Greeting, Project Selection &amp; Session Scoping</w:t>
            </w:r>
          </w:p>
        </w:tc>
        <w:tc>
          <w:tcPr>
            <w:tcW w:type="dxa" w:w="6192"/>
          </w:tcPr>
          <w:p>
            <w:r>
              <w:t>Greets the user, requires a project selection before chat is reachable, and locks that choice (plus a generated session ID) for the rest of the conversation.</w:t>
            </w:r>
          </w:p>
        </w:tc>
      </w:tr>
      <w:tr>
        <w:tc>
          <w:tcPr>
            <w:tcW w:type="dxa" w:w="576"/>
          </w:tcPr>
          <w:p>
            <w:r>
              <w:t>5</w:t>
            </w:r>
          </w:p>
        </w:tc>
        <w:tc>
          <w:tcPr>
            <w:tcW w:type="dxa" w:w="2880"/>
          </w:tcPr>
          <w:p>
            <w:r>
              <w:t>Persona-Aware Response Tuning</w:t>
            </w:r>
          </w:p>
        </w:tc>
        <w:tc>
          <w:tcPr>
            <w:tcW w:type="dxa" w:w="6192"/>
          </w:tcPr>
          <w:p>
            <w:r>
              <w:t>A second selector — technical consultant vs. business user — that changes the RCA's wording and technical depth without changing its structure, so grounding and write-back logic stay identical across personas.</w:t>
            </w:r>
          </w:p>
        </w:tc>
      </w:tr>
    </w:tbl>
    <w:p/>
    <w:p>
      <w:pPr>
        <w:pStyle w:val="Heading1"/>
      </w:pPr>
      <w:r>
        <w:rPr>
          <w:color w:val="2C5F7C"/>
        </w:rPr>
        <w:t>5. Tech Stack</w:t>
      </w:r>
    </w:p>
    <w:tbl>
      <w:tblPr>
        <w:tblStyle w:val="LightGrid-Accent1"/>
        <w:tblW w:type="auto" w:w="0"/>
        <w:jc w:val="center"/>
        <w:tblLook w:firstColumn="1" w:firstRow="1" w:lastColumn="0" w:lastRow="0" w:noHBand="0" w:noVBand="1" w:val="04A0"/>
      </w:tblPr>
      <w:tblGrid>
        <w:gridCol w:w="4320"/>
        <w:gridCol w:w="4320"/>
      </w:tblGrid>
      <w:tr>
        <w:tc>
          <w:tcPr>
            <w:tcW w:type="dxa" w:w="3168"/>
            <w:shd w:fill="2C5F7C"/>
          </w:tcPr>
          <w:p>
            <w:r>
              <w:rPr>
                <w:b/>
                <w:color w:val="FFFFFF"/>
              </w:rPr>
              <w:t>Layer</w:t>
            </w:r>
          </w:p>
        </w:tc>
        <w:tc>
          <w:tcPr>
            <w:tcW w:type="dxa" w:w="6480"/>
            <w:shd w:fill="2C5F7C"/>
          </w:tcPr>
          <w:p>
            <w:r>
              <w:rPr>
                <w:b/>
                <w:color w:val="FFFFFF"/>
              </w:rPr>
              <w:t>Technology</w:t>
            </w:r>
          </w:p>
        </w:tc>
      </w:tr>
      <w:tr>
        <w:tc>
          <w:tcPr>
            <w:tcW w:type="dxa" w:w="3168"/>
          </w:tcPr>
          <w:p>
            <w:r>
              <w:t>Log storage / search</w:t>
            </w:r>
          </w:p>
        </w:tc>
        <w:tc>
          <w:tcPr>
            <w:tcW w:type="dxa" w:w="6480"/>
          </w:tcPr>
          <w:p>
            <w:r>
              <w:t>OpenSearch — existing client indices, DQL / BM25 full-text (no vector embeddings)</w:t>
            </w:r>
          </w:p>
        </w:tc>
      </w:tr>
      <w:tr>
        <w:tc>
          <w:tcPr>
            <w:tcW w:type="dxa" w:w="3168"/>
          </w:tcPr>
          <w:p>
            <w:r>
              <w:t>Session / monitor state</w:t>
            </w:r>
          </w:p>
        </w:tc>
        <w:tc>
          <w:tcPr>
            <w:tcW w:type="dxa" w:w="6480"/>
          </w:tcPr>
          <w:p>
            <w:r>
              <w:t>Redis — poller checkpoints, alert dedup, minimal chat session ping</w:t>
            </w:r>
          </w:p>
        </w:tc>
      </w:tr>
      <w:tr>
        <w:tc>
          <w:tcPr>
            <w:tcW w:type="dxa" w:w="3168"/>
          </w:tcPr>
          <w:p>
            <w:r>
              <w:t>Agent orchestration</w:t>
            </w:r>
          </w:p>
        </w:tc>
        <w:tc>
          <w:tcPr>
            <w:tcW w:type="dxa" w:w="6480"/>
          </w:tcPr>
          <w:p>
            <w:r>
              <w:t>LangGraph state machine (FastAPI)</w:t>
            </w:r>
          </w:p>
        </w:tc>
      </w:tr>
      <w:tr>
        <w:tc>
          <w:tcPr>
            <w:tcW w:type="dxa" w:w="3168"/>
          </w:tcPr>
          <w:p>
            <w:r>
              <w:t>LLM (local dev)</w:t>
            </w:r>
          </w:p>
        </w:tc>
        <w:tc>
          <w:tcPr>
            <w:tcW w:type="dxa" w:w="6480"/>
          </w:tcPr>
          <w:p>
            <w:r>
              <w:t>Ollama — qwen2.5:7b (synthesis), qwen2.5:3b (routing)</w:t>
            </w:r>
          </w:p>
        </w:tc>
      </w:tr>
      <w:tr>
        <w:tc>
          <w:tcPr>
            <w:tcW w:type="dxa" w:w="3168"/>
          </w:tcPr>
          <w:p>
            <w:r>
              <w:t>LLM (production target)</w:t>
            </w:r>
          </w:p>
        </w:tc>
        <w:tc>
          <w:tcPr>
            <w:tcW w:type="dxa" w:w="6480"/>
          </w:tcPr>
          <w:p>
            <w:r>
              <w:t>Claude Sonnet (synthesis), Claude Haiku (routing) — one-line swap from ChatOllama to ChatAnthropic</w:t>
            </w:r>
          </w:p>
        </w:tc>
      </w:tr>
      <w:tr>
        <w:tc>
          <w:tcPr>
            <w:tcW w:type="dxa" w:w="3168"/>
          </w:tcPr>
          <w:p>
            <w:r>
              <w:t>Tool layer</w:t>
            </w:r>
          </w:p>
        </w:tc>
        <w:tc>
          <w:tcPr>
            <w:tcW w:type="dxa" w:w="6480"/>
          </w:tcPr>
          <w:p>
            <w:r>
              <w:t>MCP-pattern HTTP tools (5), convertible to official MCP stdio/SSE protocol</w:t>
            </w:r>
          </w:p>
        </w:tc>
      </w:tr>
      <w:tr>
        <w:tc>
          <w:tcPr>
            <w:tcW w:type="dxa" w:w="3168"/>
          </w:tcPr>
          <w:p>
            <w:r>
              <w:t>Notifications</w:t>
            </w:r>
          </w:p>
        </w:tc>
        <w:tc>
          <w:tcPr>
            <w:tcW w:type="dxa" w:w="6480"/>
          </w:tcPr>
          <w:p>
            <w:r>
              <w:t>SMTP (email DL) + Slack incoming webhook</w:t>
            </w:r>
          </w:p>
        </w:tc>
      </w:tr>
      <w:tr>
        <w:tc>
          <w:tcPr>
            <w:tcW w:type="dxa" w:w="3168"/>
          </w:tcPr>
          <w:p>
            <w:r>
              <w:t>UI</w:t>
            </w:r>
          </w:p>
        </w:tc>
        <w:tc>
          <w:tcPr>
            <w:tcW w:type="dxa" w:w="6480"/>
          </w:tcPr>
          <w:p>
            <w:r>
              <w:t>Single-file React (chat, project + persona picker)</w:t>
            </w:r>
          </w:p>
        </w:tc>
      </w:tr>
    </w:tbl>
    <w:p/>
    <w:p>
      <w:pPr>
        <w:pStyle w:val="Heading1"/>
      </w:pPr>
      <w:r>
        <w:rPr>
          <w:color w:val="2C5F7C"/>
        </w:rPr>
        <w:t>6. Key Design Decisions</w:t>
      </w:r>
    </w:p>
    <w:p>
      <w:pPr>
        <w:pStyle w:val="Heading2"/>
      </w:pPr>
      <w:r>
        <w:rPr>
          <w:color w:val="2C5F7C"/>
        </w:rPr>
        <w:t>Read-only production integration</w:t>
      </w:r>
    </w:p>
    <w:p>
      <w:r>
        <w:rPr>
          <w:b w:val="0"/>
          <w:i w:val="0"/>
        </w:rPr>
        <w:t>No ingestion pipeline is owned by the GenAI layer in production. The existing Fluentbit-to-OpenSearch pipeline is untouched; retrieval queries the index that's already there. This was a deliberate simplification from the original POC design, which used a dedicated Kafka consumer and ingestor service — unnecessary once real production logs are already indexed.</w:t>
      </w:r>
    </w:p>
    <w:p>
      <w:pPr>
        <w:pStyle w:val="Heading2"/>
      </w:pPr>
      <w:r>
        <w:rPr>
          <w:color w:val="2C5F7C"/>
        </w:rPr>
        <w:t>loggingId-based correlation, computed at query time</w:t>
      </w:r>
    </w:p>
    <w:p>
      <w:r>
        <w:rPr>
          <w:b w:val="0"/>
          <w:i w:val="0"/>
        </w:rPr>
        <w:t>Rather than relying on pre-built chunks (which only a GenAI-owned ingestor could produce), correlation happens live: search for the entity as text, then expand via loggingId. This makes the system portable to any index with the same field shape, with zero pre-processing step to maintain.</w:t>
      </w:r>
    </w:p>
    <w:p>
      <w:pPr>
        <w:pStyle w:val="Heading2"/>
      </w:pPr>
      <w:r>
        <w:rPr>
          <w:color w:val="2C5F7C"/>
        </w:rPr>
        <w:t>Time-window scoping to prevent token explosion</w:t>
      </w:r>
    </w:p>
    <w:p>
      <w:r>
        <w:rPr>
          <w:b w:val="0"/>
          <w:i w:val="0"/>
        </w:rPr>
        <w:t>An order that fails repeatedly across days would produce many distinct loggingId traces, all matching the anchor search. Without scoping, every historical failure trace for that order would be concatenated into the LLM prompt — a token explosion. The fix is two-part: (1) the router LLM extracts a date or time hint from the user's natural-language message ("on 7th July", "yesterday", "around 2pm") and converts it to an ISO datetime range that narrows the OpenSearch filter to that window; (2) MAX_TRACES is capped at 3, so even within a single day at most 3 failure traces are returned. Without a date in the message, the default look-back is 24 hours. Users do not need to type ISO dates — natural language is resolved at query time.</w:t>
      </w:r>
    </w:p>
    <w:p>
      <w:pPr>
        <w:pStyle w:val="Heading2"/>
      </w:pPr>
      <w:r>
        <w:rPr>
          <w:color w:val="2C5F7C"/>
        </w:rPr>
        <w:t>No vector embeddings</w:t>
      </w:r>
    </w:p>
    <w:p>
      <w:r>
        <w:rPr>
          <w:b w:val="0"/>
          <w:i w:val="0"/>
        </w:rPr>
        <w:t>Full-text DQL/BM25 search is used throughout — for both log retrieval and historical-incident similarity search. Log error text uses precise, distinctive vocabulary (exception class names, specific error codes) where exact-term matching is more reliable and predictable than semantic similarity, and it removes a significant dependency footprint.</w:t>
      </w:r>
    </w:p>
    <w:p>
      <w:pPr>
        <w:pStyle w:val="Heading2"/>
      </w:pPr>
      <w:r>
        <w:rPr>
          <w:color w:val="2C5F7C"/>
        </w:rPr>
        <w:t>Partial-evidence hedging</w:t>
      </w:r>
    </w:p>
    <w:p>
      <w:r>
        <w:rPr>
          <w:b w:val="0"/>
          <w:i w:val="0"/>
        </w:rPr>
        <w:t>Because loggingId propagation across every service hop isn't guaranteed in a real production environment (unlike the POC's synthetic trace IDs), the synthesis engine explicitly flags single-service traces as potentially incomplete and instructs the LLM not to assert a confident root cause from a partial slice of the request.</w:t>
      </w:r>
    </w:p>
    <w:p>
      <w:pPr>
        <w:pStyle w:val="Heading2"/>
      </w:pPr>
      <w:r>
        <w:rPr>
          <w:color w:val="2C5F7C"/>
        </w:rPr>
        <w:t>Structure is separate from tone</w:t>
      </w:r>
    </w:p>
    <w:p>
      <w:r>
        <w:rPr>
          <w:b w:val="0"/>
          <w:i w:val="0"/>
        </w:rPr>
        <w:t>Persona changes wording and technical depth only. The RCA's section structure (Summary / What Happened / Root Cause / Contributing Factors / Recommended Actions / Evidence) is fixed regardless of audience, so downstream parsing (write-back to incidents-historical, the is_rca flag used by the proactive monitor) works identically either way.</w:t>
      </w:r>
    </w:p>
    <w:p>
      <w:pPr>
        <w:pStyle w:val="Heading2"/>
      </w:pPr>
      <w:r>
        <w:rPr>
          <w:color w:val="2C5F7C"/>
        </w:rPr>
        <w:t>Provenance tagging in incidents-historical</w:t>
      </w:r>
    </w:p>
    <w:p>
      <w:r>
        <w:rPr>
          <w:b w:val="0"/>
          <w:i w:val="0"/>
        </w:rPr>
        <w:t>Every entry is tagged by source: curated (hand-seeded), auto-generated (chat-triggered), or proactive-alert (poller-triggered) — so the knowledge base can distinguish vetted history from the system's own accumulating findings.</w:t>
      </w:r>
    </w:p>
    <w:p>
      <w:pPr>
        <w:pStyle w:val="Heading1"/>
      </w:pPr>
      <w:r>
        <w:rPr>
          <w:color w:val="2C5F7C"/>
        </w:rPr>
        <w:t>7. Open Items to Verify Against Real Production Data</w:t>
      </w:r>
    </w:p>
    <w:p>
      <w:r>
        <w:rPr>
          <w:b w:val="0"/>
          <w:i/>
          <w:color w:val="555555"/>
        </w:rPr>
        <w:t>These are explicit assumptions made without access to the live cluster — flagged for validation before go-live:</w:t>
      </w:r>
    </w:p>
    <w:p>
      <w:pPr>
        <w:pStyle w:val="ListBullet"/>
      </w:pPr>
      <w:r>
        <w:t>loggingId.keyword mapping — confirm the real index has the expected keyword sub-field for exact-match filtering.</w:t>
      </w:r>
    </w:p>
    <w:p>
      <w:pPr>
        <w:pStyle w:val="ListBullet"/>
      </w:pPr>
      <w:r>
        <w:t>msg vs. log_message — confirm which field is authoritative for the search text; both are currently supported via configurable search_field.</w:t>
      </w:r>
    </w:p>
    <w:p>
      <w:pPr>
        <w:pStyle w:val="ListBullet"/>
      </w:pPr>
      <w:r>
        <w:t>logger field as service identifier — confirm this represents the originating service/component as intended, not just a Java class name.</w:t>
      </w:r>
    </w:p>
    <w:p>
      <w:pPr>
        <w:pStyle w:val="ListBullet"/>
      </w:pPr>
      <w:r>
        <w:t>loggingId propagation across service hops — confirm whether one request/order is tracked under a single loggingId across all involved services, or scoped per-service.</w:t>
      </w:r>
    </w:p>
    <w:p>
      <w:pPr>
        <w:pStyle w:val="ListBullet"/>
      </w:pPr>
      <w:r>
        <w:t>The remaining 3 projects' index names and field mappings — only app_launchpad is currently wired from the shared screenshot.</w:t>
      </w:r>
    </w:p>
    <w:p>
      <w:pPr>
        <w:pStyle w:val="ListBullet"/>
      </w:pPr>
      <w:r>
        <w:t>SMTP and Slack webhook credentials — required for Module 3 to actually dispatch notifications (it runs and logs detections without them, but skips sending).</w:t>
      </w:r>
    </w:p>
    <w:p>
      <w:pPr>
        <w:pStyle w:val="Heading1"/>
      </w:pPr>
      <w:r>
        <w:rPr>
          <w:color w:val="2C5F7C"/>
        </w:rPr>
        <w:t>8. From Current Build to Full Production</w:t>
      </w:r>
    </w:p>
    <w:tbl>
      <w:tblPr>
        <w:tblStyle w:val="LightGrid-Accent1"/>
        <w:tblW w:type="auto" w:w="0"/>
        <w:jc w:val="center"/>
        <w:tblLook w:firstColumn="1" w:firstRow="1" w:lastColumn="0" w:lastRow="0" w:noHBand="0" w:noVBand="1" w:val="04A0"/>
      </w:tblPr>
      <w:tblGrid>
        <w:gridCol w:w="4320"/>
        <w:gridCol w:w="4320"/>
      </w:tblGrid>
      <w:tr>
        <w:tc>
          <w:tcPr>
            <w:tcW w:type="dxa" w:w="5760"/>
            <w:shd w:fill="2C5F7C"/>
          </w:tcPr>
          <w:p>
            <w:r>
              <w:rPr>
                <w:b/>
                <w:color w:val="FFFFFF"/>
              </w:rPr>
              <w:t>Change</w:t>
            </w:r>
          </w:p>
        </w:tc>
        <w:tc>
          <w:tcPr>
            <w:tcW w:type="dxa" w:w="3600"/>
            <w:shd w:fill="2C5F7C"/>
          </w:tcPr>
          <w:p>
            <w:r>
              <w:rPr>
                <w:b/>
                <w:color w:val="FFFFFF"/>
              </w:rPr>
              <w:t>Effort</w:t>
            </w:r>
          </w:p>
        </w:tc>
      </w:tr>
      <w:tr>
        <w:tc>
          <w:tcPr>
            <w:tcW w:type="dxa" w:w="5760"/>
          </w:tcPr>
          <w:p>
            <w:r>
              <w:t>Swap ChatOllama for ChatAnthropic (synthesis + routing)</w:t>
            </w:r>
          </w:p>
        </w:tc>
        <w:tc>
          <w:tcPr>
            <w:tcW w:type="dxa" w:w="3600"/>
          </w:tcPr>
          <w:p>
            <w:r>
              <w:t>1 line of code per model</w:t>
            </w:r>
          </w:p>
        </w:tc>
      </w:tr>
      <w:tr>
        <w:tc>
          <w:tcPr>
            <w:tcW w:type="dxa" w:w="5760"/>
          </w:tcPr>
          <w:p>
            <w:r>
              <w:t>Point project_config.py at real index names for all projects</w:t>
            </w:r>
          </w:p>
        </w:tc>
        <w:tc>
          <w:tcPr>
            <w:tcW w:type="dxa" w:w="3600"/>
          </w:tcPr>
          <w:p>
            <w:r>
              <w:t>Configuration only</w:t>
            </w:r>
          </w:p>
        </w:tc>
      </w:tr>
      <w:tr>
        <w:tc>
          <w:tcPr>
            <w:tcW w:type="dxa" w:w="5760"/>
          </w:tcPr>
          <w:p>
            <w:r>
              <w:t>Provision SMTP + Slack webhook credentials</w:t>
            </w:r>
          </w:p>
        </w:tc>
        <w:tc>
          <w:tcPr>
            <w:tcW w:type="dxa" w:w="3600"/>
          </w:tcPr>
          <w:p>
            <w:r>
              <w:t>IT/security approval, not engineering effort</w:t>
            </w:r>
          </w:p>
        </w:tc>
      </w:tr>
      <w:tr>
        <w:tc>
          <w:tcPr>
            <w:tcW w:type="dxa" w:w="5760"/>
          </w:tcPr>
          <w:p>
            <w:r>
              <w:t>Confirm/adjust field mappings per project if they differ from app_launchpad</w:t>
            </w:r>
          </w:p>
        </w:tc>
        <w:tc>
          <w:tcPr>
            <w:tcW w:type="dxa" w:w="3600"/>
          </w:tcPr>
          <w:p>
            <w:r>
              <w:t>Per-project validation + minor query adjustments</w:t>
            </w:r>
          </w:p>
        </w:tc>
      </w:tr>
      <w:tr>
        <w:tc>
          <w:tcPr>
            <w:tcW w:type="dxa" w:w="5760"/>
          </w:tcPr>
          <w:p>
            <w:r>
              <w:t>Convert MCP HTTP endpoints to official MCP stdio/SSE transport</w:t>
            </w:r>
          </w:p>
        </w:tc>
        <w:tc>
          <w:tcPr>
            <w:tcW w:type="dxa" w:w="3600"/>
          </w:tcPr>
          <w:p>
            <w:r>
              <w:t>~50 lines of code</w:t>
            </w:r>
          </w:p>
        </w:tc>
      </w:tr>
      <w:tr>
        <w:tc>
          <w:tcPr>
            <w:tcW w:type="dxa" w:w="5760"/>
          </w:tcPr>
          <w:p>
            <w:r>
              <w:t>Add authentication/RBAC to the chat UI and MCP tools</w:t>
            </w:r>
          </w:p>
        </w:tc>
        <w:tc>
          <w:tcPr>
            <w:tcW w:type="dxa" w:w="3600"/>
          </w:tcPr>
          <w:p>
            <w:r>
              <w:t>New scope — not yet implemented</w:t>
            </w:r>
          </w:p>
        </w:tc>
      </w:tr>
      <w:tr>
        <w:tc>
          <w:tcPr>
            <w:tcW w:type="dxa" w:w="5760"/>
          </w:tcPr>
          <w:p>
            <w:r>
              <w:t>Production-grade React build (Vite, proper auth, SSE streaming in the UI)</w:t>
            </w:r>
          </w:p>
        </w:tc>
        <w:tc>
          <w:tcPr>
            <w:tcW w:type="dxa" w:w="3600"/>
          </w:tcPr>
          <w:p>
            <w:r>
              <w:t>New frontend project</w:t>
            </w:r>
          </w:p>
        </w:tc>
      </w:tr>
      <w:tr>
        <w:tc>
          <w:tcPr>
            <w:tcW w:type="dxa" w:w="5760"/>
          </w:tcPr>
          <w:p>
            <w:r>
              <w:t>Add LangSmith/Langfuse observability</w:t>
            </w:r>
          </w:p>
        </w:tc>
        <w:tc>
          <w:tcPr>
            <w:tcW w:type="dxa" w:w="3600"/>
          </w:tcPr>
          <w:p>
            <w:r>
              <w:t>Small — a few lines, one decorator per LLM call</w:t>
            </w:r>
          </w:p>
        </w:tc>
      </w:tr>
    </w:tbl>
    <w:p/>
    <w:p/>
    <w:p>
      <w:r>
        <w:rPr>
          <w:i/>
          <w:color w:val="555555"/>
          <w:sz w:val="18"/>
        </w:rPr>
        <w:t>Generated to reflect the current build — 5 modules complete (retrieval, synthesis, proactive monitoring, chat UI, persona tuning). See STARTUP_V2.md and OPERATIONS_RUNBOOK_V2.md for how to run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