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A1A1A"/>
          <w:sz w:val="36"/>
          <w:szCs w:val="36"/>
        </w:rPr>
        <w:t xml:space="preserve">Términos y Condiciones de Uso</w:t>
      </w:r>
    </w:p>
    <w:p>
      <w:pPr>
        <w:spacing w:after="320"/>
        <w:jc w:val="center"/>
      </w:pPr>
      <w:r>
        <w:rPr>
          <w:i/>
          <w:iCs/>
          <w:color w:val="555555"/>
          <w:sz w:val="20"/>
          <w:szCs w:val="20"/>
        </w:rPr>
        <w:t xml:space="preserve">Fontana — Plataforma de acompañamiento e inspiración mediante Inteligencia Artificial</w:t>
      </w:r>
    </w:p>
    <w:p>
      <w:pPr>
        <w:spacing w:after="160"/>
      </w:pPr>
      <w:r>
        <w:rPr>
          <w:i/>
          <w:iCs/>
          <w:color w:val="C0392B"/>
        </w:rPr>
        <w:t xml:space="preserve">[PLANTILLA BASE — debe ser revisada y adaptada por un abogado antes de publicarse. Reemplaza los campos entre corchetes con tu información real.]</w:t>
      </w:r>
    </w:p>
    <w:p>
      <w:pPr>
        <w:spacing w:after="160"/>
        <w:jc w:val="both"/>
      </w:pPr>
      <w:r>
        <w:t xml:space="preserve">Última actualización: [FECHA]</w:t>
      </w:r>
    </w:p>
    <w:p>
      <w:pPr>
        <w:pBdr>
          <w:bottom w:val="single" w:color="CCCCCC" w:sz="6" w:space="1"/>
        </w:pBdr>
        <w:spacing w:after="240"/>
      </w:pPr>
    </w:p>
    <w:p>
      <w:pPr>
        <w:pStyle w:val="Heading1"/>
      </w:pPr>
      <w:r>
        <w:t xml:space="preserve">1. Naturaleza del servicio</w:t>
      </w:r>
    </w:p>
    <w:p>
      <w:pPr>
        <w:spacing w:after="160"/>
        <w:jc w:val="both"/>
      </w:pPr>
      <w:r>
        <w:t xml:space="preserve">Fontana (en adelante, “la Plataforma”, “nosotros” o “Fontana”) es un servicio digital de inspiración, ritual simbólico y acompañamiento personal que combina un gesto tradicional —la entrega de una contribución simbólica, inspirada en el acto de pedir un deseo en una fuente— con un sistema de seguimiento automatizado que utiliza inteligencia artificial para generar mensajes, sugerencias y recordatorios relacionados con el objetivo personal (“el deseo”) que el usuario comparte.</w:t>
      </w:r>
    </w:p>
    <w:p>
      <w:pPr>
        <w:spacing w:after="160"/>
        <w:jc w:val="both"/>
      </w:pPr>
      <w:r>
        <w:t xml:space="preserve">Fontana NO es:</w:t>
      </w:r>
    </w:p>
    <w:p>
      <w:pPr>
        <w:pStyle w:val="ListParagraph"/>
        <w:numPr>
          <w:ilvl w:val="0"/>
          <w:numId w:val="2"/>
        </w:numPr>
        <w:spacing w:after="80"/>
      </w:pPr>
      <w:r>
        <w:t xml:space="preserve">Un servicio de adivinación, videncia, astrología, brujería, religión organizada ni ninguna práctica esotérica con capacidad de predecir o garantizar eventos futuros.</w:t>
      </w:r>
    </w:p>
    <w:p>
      <w:pPr>
        <w:pStyle w:val="ListParagraph"/>
        <w:numPr>
          <w:ilvl w:val="0"/>
          <w:numId w:val="2"/>
        </w:numPr>
        <w:spacing w:after="80"/>
      </w:pPr>
      <w:r>
        <w:t xml:space="preserve">Un servicio de asesoría financiera, médica, legal, psicológica o terapéutica. Ningún contenido generado por Fontana sustituye el consejo de un profesional certificado en estas áreas.</w:t>
      </w:r>
    </w:p>
    <w:p>
      <w:pPr>
        <w:pStyle w:val="ListParagraph"/>
        <w:numPr>
          <w:ilvl w:val="0"/>
          <w:numId w:val="2"/>
        </w:numPr>
        <w:spacing w:after="80"/>
      </w:pPr>
      <w:r>
        <w:t xml:space="preserve">Una garantía de que el deseo, objetivo o resultado descrito por el usuario se cumplirá, total o parcialmente, en ningún plazo de tiempo.</w:t>
      </w:r>
    </w:p>
    <w:p>
      <w:pPr>
        <w:spacing w:after="160"/>
        <w:jc w:val="both"/>
      </w:pPr>
      <w:r>
        <w:t xml:space="preserve">Fontana SÍ es:</w:t>
      </w:r>
    </w:p>
    <w:p>
      <w:pPr>
        <w:pStyle w:val="ListParagraph"/>
        <w:numPr>
          <w:ilvl w:val="0"/>
          <w:numId w:val="2"/>
        </w:numPr>
        <w:spacing w:after="80"/>
      </w:pPr>
      <w:r>
        <w:t xml:space="preserve">Un ritual simbólico de intención: el usuario formula un deseo y realiza una contribución como gesto de compromiso con ese deseo, de la misma forma en que históricamente se lanzan monedas a una fuente.</w:t>
      </w:r>
    </w:p>
    <w:p>
      <w:pPr>
        <w:pStyle w:val="ListParagraph"/>
        <w:numPr>
          <w:ilvl w:val="0"/>
          <w:numId w:val="2"/>
        </w:numPr>
        <w:spacing w:after="80"/>
      </w:pPr>
      <w:r>
        <w:t xml:space="preserve">Un sistema de acompañamiento activo: tras formular el deseo, el usuario recibe correos generados con apoyo de inteligencia artificial que sugieren pasos de acción, reflexiones y recursos relacionados con su objetivo, durante un período de 30 (treinta) días calendario.</w:t>
      </w:r>
    </w:p>
    <w:p>
      <w:pPr>
        <w:spacing w:after="160"/>
        <w:jc w:val="both"/>
      </w:pPr>
      <w:r>
        <w:t xml:space="preserve">Al utilizar la Plataforma y realizar una contribución, el usuario reconoce y acepta expresamente que comprende esta distinción y que su contribución es un pago por el ritual simbólico y el servicio de acompañamiento descrito, no por la obtención de ningún resultado específico.</w:t>
      </w:r>
    </w:p>
    <w:p>
      <w:pPr>
        <w:pStyle w:val="Heading1"/>
      </w:pPr>
      <w:r>
        <w:t xml:space="preserve">2. Elegibilidad y cuenta única</w:t>
      </w:r>
    </w:p>
    <w:p>
      <w:pPr>
        <w:spacing w:after="160"/>
        <w:jc w:val="both"/>
      </w:pPr>
      <w:r>
        <w:t xml:space="preserve">Para utilizar Fontana, el usuario debe:</w:t>
      </w:r>
    </w:p>
    <w:p>
      <w:pPr>
        <w:pStyle w:val="ListParagraph"/>
        <w:numPr>
          <w:ilvl w:val="0"/>
          <w:numId w:val="2"/>
        </w:numPr>
        <w:spacing w:after="80"/>
      </w:pPr>
      <w:r>
        <w:t xml:space="preserve">Tener al menos 18 años de edad, o la mayoría de edad legal en su jurisdicción de residencia.</w:t>
      </w:r>
    </w:p>
    <w:p>
      <w:pPr>
        <w:pStyle w:val="ListParagraph"/>
        <w:numPr>
          <w:ilvl w:val="0"/>
          <w:numId w:val="2"/>
        </w:numPr>
        <w:spacing w:after="80"/>
      </w:pPr>
      <w:r>
        <w:t xml:space="preserve">Autenticarse mediante un proveedor de identidad externo (por ejemplo, Google) que verifique el control de una cuenta de correo electrónico.</w:t>
      </w:r>
    </w:p>
    <w:p>
      <w:pPr>
        <w:pStyle w:val="ListParagraph"/>
        <w:numPr>
          <w:ilvl w:val="0"/>
          <w:numId w:val="2"/>
        </w:numPr>
        <w:spacing w:after="80"/>
      </w:pPr>
      <w:r>
        <w:t xml:space="preserve">Aceptar que el sistema está diseñado para permitir un (1) deseo activo por persona. Fontana utiliza señales técnicas razonables (incluyendo, sin limitarse a, correo electrónico verificado, identificador de cuenta del proveedor de autenticación, y huella de dispositivo) para hacer cumplir esta regla, pero el usuario reconoce que ningún sistema de verificación de identidad en línea es infalible.</w:t>
      </w:r>
    </w:p>
    <w:p>
      <w:pPr>
        <w:pStyle w:val="ListParagraph"/>
        <w:numPr>
          <w:ilvl w:val="0"/>
          <w:numId w:val="2"/>
        </w:numPr>
        <w:spacing w:after="80"/>
      </w:pPr>
      <w:r>
        <w:t xml:space="preserve">Comprometerse a no crear múltiples cuentas, identidades falsas o utilizar medios automatizados para eludir el límite de un deseo por persona. Fontana se reserva el derecho de suspender cuentas que incumplan esta regla, sin obligación de reembolso, cuando la infracción sea atribuible al usuario.</w:t>
      </w:r>
    </w:p>
    <w:p>
      <w:pPr>
        <w:pStyle w:val="Heading1"/>
      </w:pPr>
      <w:r>
        <w:t xml:space="preserve">3. Contribución y pagos</w:t>
      </w:r>
    </w:p>
    <w:p>
      <w:pPr>
        <w:spacing w:after="160"/>
        <w:jc w:val="both"/>
      </w:pPr>
      <w:r>
        <w:t xml:space="preserve">La contribución mínima es de 1 (un) dólar estadounidense (USD), o su equivalente en la moneda local procesada por la pasarela de pago. El usuario puede elegir contribuir un monto mayor de forma voluntaria, incluyendo contribuciones adicionales después de su primera contribución, todas las cuales se acumulan al mismo deseo activo del usuario.</w:t>
      </w:r>
    </w:p>
    <w:p>
      <w:pPr>
        <w:spacing w:after="160"/>
        <w:jc w:val="both"/>
      </w:pPr>
      <w:r>
        <w:t xml:space="preserve">Los pagos son procesados por un proveedor externo de pasarela de pago (por ejemplo, Stripe). Fontana no almacena ni tiene acceso directo a los datos completos de tarjetas de pago.</w:t>
      </w:r>
    </w:p>
    <w:p>
      <w:pPr>
        <w:spacing w:after="160"/>
        <w:jc w:val="both"/>
      </w:pPr>
      <w:r>
        <w:t xml:space="preserve">La contribución se realiza a cambio del acceso al ritual simbólico y al servicio de acompañamiento de 30 días descrito en estos términos. Ver Sección 6 (Política de Reembolsos) para las condiciones bajo las cuales se admite la devolución de la contribución.</w:t>
      </w:r>
    </w:p>
    <w:p>
      <w:pPr>
        <w:spacing w:after="160"/>
        <w:jc w:val="both"/>
      </w:pPr>
      <w:r>
        <w:t xml:space="preserve">Ranking público de contribuciones: al contribuir, el usuario elige un apodo (alias) que se mostrará públicamente en un ranking de los cinco (5) usuarios con mayor contribución acumulada, junto al monto total contribuido. El usuario es responsable de elegir un apodo que no revele su identidad si desea mantener su contribución privada. Fontana no publica el nombre real, correo, ni ningún otro dato de identidad asociado a un apodo sin consentimiento expreso adicional.</w:t>
      </w:r>
    </w:p>
    <w:p>
      <w:pPr>
        <w:pStyle w:val="Heading1"/>
      </w:pPr>
      <w:r>
        <w:t xml:space="preserve">4. El deseo y el contenido generado por el usuario</w:t>
      </w:r>
    </w:p>
    <w:p>
      <w:pPr>
        <w:spacing w:after="160"/>
        <w:jc w:val="both"/>
      </w:pPr>
      <w:r>
        <w:t xml:space="preserve">El usuario es responsable del contenido del deseo que comparte. Fontana se reserva el derecho de rechazar, no procesar o suspender cualquier deseo que:</w:t>
      </w:r>
    </w:p>
    <w:p>
      <w:pPr>
        <w:pStyle w:val="ListParagraph"/>
        <w:numPr>
          <w:ilvl w:val="0"/>
          <w:numId w:val="2"/>
        </w:numPr>
        <w:spacing w:after="80"/>
      </w:pPr>
      <w:r>
        <w:t xml:space="preserve">Solicite, describa o promueva daño a sí mismo o a terceros, violencia, actividades ilegales, o contenido sexual relacionado con menores de edad.</w:t>
      </w:r>
    </w:p>
    <w:p>
      <w:pPr>
        <w:pStyle w:val="ListParagraph"/>
        <w:numPr>
          <w:ilvl w:val="0"/>
          <w:numId w:val="2"/>
        </w:numPr>
        <w:spacing w:after="80"/>
      </w:pPr>
      <w:r>
        <w:t xml:space="preserve">Contenga información de salud, financiera o legal que el sistema de inteligencia artificial no esté en capacidad de tratar de forma responsable, en cuyo caso el usuario será redirigido a buscar ayuda profesional apropiada.</w:t>
      </w:r>
    </w:p>
    <w:p>
      <w:pPr>
        <w:pStyle w:val="ListParagraph"/>
        <w:numPr>
          <w:ilvl w:val="0"/>
          <w:numId w:val="2"/>
        </w:numPr>
        <w:spacing w:after="80"/>
      </w:pPr>
      <w:r>
        <w:t xml:space="preserve">Viole derechos de propiedad intelectual o de terceros.</w:t>
      </w:r>
    </w:p>
    <w:p>
      <w:pPr>
        <w:spacing w:after="160"/>
        <w:jc w:val="both"/>
      </w:pPr>
      <w:r>
        <w:t xml:space="preserve">El usuario otorga a Fontana una licencia limitada para procesar el texto de su deseo mediante sistemas de inteligencia artificial (propios o de terceros proveedores) con el único fin de generar el contenido de acompañamiento descrito en estos términos.</w:t>
      </w:r>
    </w:p>
    <w:p>
      <w:pPr>
        <w:pStyle w:val="Heading1"/>
      </w:pPr>
      <w:r>
        <w:t xml:space="preserve">5. Comunicaciones por correo electrónico</w:t>
      </w:r>
    </w:p>
    <w:p>
      <w:pPr>
        <w:spacing w:after="160"/>
        <w:jc w:val="both"/>
      </w:pPr>
      <w:r>
        <w:t xml:space="preserve">Al formular un deseo, el usuario acepta recibir: (i) un correo inicial con una sugerencia de primer paso relacionada con su deseo, y (ii) correos adicionales de seguimiento durante un período total de hasta 720 (setecientas veinte) horas (30 días), enviados en los momentos que el sistema de inteligencia artificial determine pertinentes según el avance del deseo, y no necesariamente en intervalos fijos. El usuario puede darse de baja de las comunicaciones de seguimiento en cualquier momento mediante el enlace incluido en cada correo, sin que esto genere derecho a reembolso de la contribución ya realizada.</w:t>
      </w:r>
    </w:p>
    <w:p>
      <w:pPr>
        <w:pStyle w:val="Heading1"/>
      </w:pPr>
      <w:r>
        <w:t xml:space="preserve">6. Política de reembolsos</w:t>
      </w:r>
    </w:p>
    <w:p>
      <w:pPr>
        <w:spacing w:after="160"/>
        <w:jc w:val="both"/>
      </w:pPr>
      <w:r>
        <w:t xml:space="preserve">Resumen: el usuario puede solicitar el reembolso completo de su contribución dentro de las [48] horas siguientes al pago y antes de que se le haya enviado el segundo correo de seguimiento, escribiendo a fontanadigital.ai@gmail.com. Pasado ese plazo, o una vez iniciado el ciclo completo de acompañamiento, la contribución no es reembolsable, dado que el servicio (el ritual y el primer paso de acompañamiento) ya fue entregado. Ver el documento separado “Política de Reembolsos” para el detalle completo.</w:t>
      </w:r>
    </w:p>
    <w:p>
      <w:pPr>
        <w:pStyle w:val="Heading1"/>
      </w:pPr>
      <w:r>
        <w:t xml:space="preserve">7. Limitación de responsabilidad</w:t>
      </w:r>
    </w:p>
    <w:p>
      <w:pPr>
        <w:spacing w:after="160"/>
        <w:jc w:val="both"/>
      </w:pPr>
      <w:r>
        <w:t xml:space="preserve">En la máxima medida permitida por la ley aplicable, Fontana, sus fundadores, empleados y proveedores no serán responsables por daños indirectos, incidentales, especiales o consecuentes derivados del uso de la Plataforma, incluyendo, sin limitarse a, decisiones personales, financieras o de cualquier otra índole que el usuario tome basándose en el contenido generado por el sistema de inteligencia artificial.</w:t>
      </w:r>
    </w:p>
    <w:p>
      <w:pPr>
        <w:spacing w:after="160"/>
        <w:jc w:val="both"/>
      </w:pPr>
      <w:r>
        <w:t xml:space="preserve">El contenido generado por inteligencia artificial puede contener imprecisiones. El usuario es el único responsable de evaluar y decidir si actúa o no sobre cualquier sugerencia recibida.</w:t>
      </w:r>
    </w:p>
    <w:p>
      <w:pPr>
        <w:pStyle w:val="Heading1"/>
      </w:pPr>
      <w:r>
        <w:t xml:space="preserve">8. Propiedad intelectual</w:t>
      </w:r>
    </w:p>
    <w:p>
      <w:pPr>
        <w:spacing w:after="160"/>
        <w:jc w:val="both"/>
      </w:pPr>
      <w:r>
        <w:t xml:space="preserve">Todo el contenido, diseño, marca, logotipo y software de la Plataforma son propiedad de Fontana o de sus licenciantes, salvo el contenido del deseo proporcionado por cada usuario, que permanece siendo de su autoría.</w:t>
      </w:r>
    </w:p>
    <w:p>
      <w:pPr>
        <w:pStyle w:val="Heading1"/>
      </w:pPr>
      <w:r>
        <w:t xml:space="preserve">9. Modificaciones</w:t>
      </w:r>
    </w:p>
    <w:p>
      <w:pPr>
        <w:spacing w:after="160"/>
        <w:jc w:val="both"/>
      </w:pPr>
      <w:r>
        <w:t xml:space="preserve">Fontana podrá modificar estos términos en cualquier momento. Los cambios sustanciales serán notificados a los usuarios activos por correo electrónico con al menos [15] días de anticipación a su entrada en vigor.</w:t>
      </w:r>
    </w:p>
    <w:p>
      <w:pPr>
        <w:pStyle w:val="Heading1"/>
      </w:pPr>
      <w:r>
        <w:t xml:space="preserve">10. Ley aplicable y jurisdicción</w:t>
      </w:r>
    </w:p>
    <w:p>
      <w:pPr>
        <w:spacing w:after="160"/>
      </w:pPr>
      <w:r>
        <w:rPr>
          <w:i/>
          <w:iCs/>
          <w:color w:val="C0392B"/>
        </w:rPr>
        <w:t xml:space="preserve">[DEFINIR CON ABOGADO: dado que el servicio se presta globalmente, se recomienda definir una jurisdicción única para resolución de disputas, por ejemplo el país de incorporación de la empresa, e incluir una cláusula de arbitraje o mediación previa a litigio cuando sea posible.]</w:t>
      </w:r>
    </w:p>
    <w:p>
      <w:pPr>
        <w:pStyle w:val="Heading1"/>
      </w:pPr>
      <w:r>
        <w:t xml:space="preserve">11. Contacto</w:t>
      </w:r>
    </w:p>
    <w:p>
      <w:pPr>
        <w:spacing w:after="160"/>
        <w:jc w:val="both"/>
      </w:pPr>
      <w:r>
        <w:t xml:space="preserve">Para preguntas sobre estos términos: fontanadigital.ai@gmail.com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2026-06-28T16:03:06.971Z</dcterms:created>
  <dcterms:modified xsi:type="dcterms:W3CDTF">2026-06-28T16:03:06.988Z</dcterms:modified>
</cp:coreProperties>
</file>

<file path=docProps/custom.xml><?xml version="1.0" encoding="utf-8"?>
<Properties xmlns="http://schemas.openxmlformats.org/officeDocument/2006/custom-properties" xmlns:vt="http://schemas.openxmlformats.org/officeDocument/2006/docPropsVTypes"/>
</file>