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</w:pPr>
      <w:r>
        <w:t>A1 | Patient Record Deduplication — Technical Notes</w:t>
      </w:r>
    </w:p>
    <w:p>
      <w:r>
        <w:rPr>
          <w:b/>
        </w:rPr>
        <w:t xml:space="preserve">Methodology and observed results  •  </w:t>
      </w:r>
      <w:r>
        <w:t>100,000 synthetic input records  •  Latest reported run</w:t>
      </w:r>
    </w:p>
    <w:p>
      <w:pPr>
        <w:pStyle w:val="MyHeading"/>
      </w:pPr>
      <w:r>
        <w:t>Matching rules applied and rationale</w:t>
      </w:r>
    </w:p>
    <w:p>
      <w:pPr>
        <w:pStyle w:val="ListBullet"/>
      </w:pPr>
      <w:r>
        <w:t>Normalize attributes before comparison; use SSN, source-scoped MRN/Patient ID, and demographic/contact evidence to generate candidate pairs.</w:t>
      </w:r>
    </w:p>
    <w:p>
      <w:pPr>
        <w:pStyle w:val="ListBullet"/>
      </w:pPr>
      <w:r>
        <w:t>Accept same SSN with supporting evidence, or same local identifier with exact name + DOB; conflicting non-null SSNs are rejected, and DOB conflicts or weak evidence go to review.</w:t>
      </w:r>
    </w:p>
    <w:p>
      <w:pPr>
        <w:pStyle w:val="ListBullet"/>
      </w:pPr>
      <w:r>
        <w:t>Scientific-notation Patient IDs are preserved but used only as non-authoritative candidate evidence because precision may be lost.</w:t>
      </w:r>
    </w:p>
    <w:p>
      <w:pPr>
        <w:pStyle w:val="ListBullet"/>
      </w:pPr>
      <w:r>
        <w:t>Final grouping uses a conservative, set-based SSN-anchor policy; SSN-less records attach only when an accepted connection points to one unambiguous anchor. This favors avoiding false merges, at the cost of missed merges.</w:t>
      </w:r>
    </w:p>
    <w:p>
      <w:pPr>
        <w:pStyle w:val="MyHeading"/>
      </w:pPr>
      <w:r>
        <w:t>Data issues identified and handling</w:t>
      </w:r>
    </w:p>
    <w:p>
      <w:pPr>
        <w:pStyle w:val="ListBullet"/>
      </w:pPr>
      <w:r>
        <w:t>Missing values: SSN ~36%, MRN ~36%, Patient ID ~54%, email ~51%; keep NULLs and use multiple matching signals.</w:t>
      </w:r>
    </w:p>
    <w:p>
      <w:pPr>
        <w:pStyle w:val="ListBullet"/>
      </w:pPr>
      <w:r>
        <w:t>DOBs differ by source (YYYY-MM-DD, MM/DD/YYYY, M/D/YY); 4,107 EHR dates required alternative parsing. Standardize to ISO dates with a documented two-digit-century assumption.</w:t>
      </w:r>
    </w:p>
    <w:p>
      <w:pPr>
        <w:pStyle w:val="ListBullet"/>
      </w:pPr>
      <w:r>
        <w:t>Standardize case/whitespace, SSN punctuation and phone format; preserve original source attributes in RAW and distinct values for export.</w:t>
      </w:r>
    </w:p>
    <w:p>
      <w:pPr>
        <w:pStyle w:val="ListBullet"/>
      </w:pPr>
      <w:r>
        <w:t>1,737 EHR Patient IDs appear in scientific notation; six local Patient IDs were associated with different SSNs. Preserve identifiers but do not trust notation alone to prove identity.</w:t>
      </w:r>
    </w:p>
    <w:p>
      <w:pPr>
        <w:pStyle w:val="ListBullet"/>
      </w:pPr>
      <w:r>
        <w:t>Detected 725 exact-attribute duplicate groups (1,470 records) and eight same-name/DOB groups with conflicting SSNs; retain every source row.</w:t>
      </w:r>
    </w:p>
    <w:p>
      <w:pPr>
        <w:pStyle w:val="MyHeading"/>
      </w:pPr>
      <w:r>
        <w:t>Questions for the client</w:t>
      </w:r>
    </w:p>
    <w:p>
      <w:pPr>
        <w:pStyle w:val="ListBullet"/>
      </w:pPr>
      <w:r>
        <w:t>Are MRNs and Patient IDs unique within each source only, or shared across both systems? Which source is authoritative when identifiers disagree?</w:t>
      </w:r>
    </w:p>
    <w:p>
      <w:pPr>
        <w:pStyle w:val="ListBullet"/>
      </w:pPr>
      <w:r>
        <w:t>Should DOB mismatches and cases without strong identifiers be escalated for manual review, or conservatively kept separate? What is the preferred false-merge vs. missed-merge trade-off?</w:t>
      </w:r>
    </w:p>
    <w:p>
      <w:pPr>
        <w:pStyle w:val="ListBullet"/>
      </w:pPr>
      <w:r>
        <w:t>Can the client supply original unrounded Patient IDs or source timestamps to resolve scientific-notation ambiguity and attribute freshness?</w:t>
      </w:r>
    </w:p>
    <w:p>
      <w:pPr>
        <w:pStyle w:val="MyHeading"/>
      </w:pPr>
      <w:r>
        <w:t>Record counts by step (last reported execution)</w:t>
      </w:r>
    </w:p>
    <w:p>
      <w:pPr>
        <w:pStyle w:val="ListBullet"/>
      </w:pPr>
      <w:r>
        <w:t>01 Schema / 02 Ingestion: 65,056 EHR + 34,944 Billing = 100,000 records; 100,000 unique technical source keys.</w:t>
      </w:r>
    </w:p>
    <w:p>
      <w:pPr>
        <w:pStyle w:val="ListBullet"/>
      </w:pPr>
      <w:r>
        <w:t>03 Profiling: 100,000 retained; 725 exact-duplicate groups; 8,861 SSNs shared across sources; 4,107 alternate DOB formats.</w:t>
      </w:r>
    </w:p>
    <w:p>
      <w:pPr>
        <w:pStyle w:val="ListBullet"/>
      </w:pPr>
      <w:r>
        <w:t>04 Normalization: 100,000 staged; 90,147 valid DOBs, 9,853 missing DOBs; 1,737 scientific-notation Patient IDs.</w:t>
      </w:r>
    </w:p>
    <w:p>
      <w:pPr>
        <w:pStyle w:val="ListBullet"/>
      </w:pPr>
      <w:r>
        <w:t>05 Matching: 61,949 candidate pairs → 44,750 provisionally accepted; 17,193 review; 6 rejected for SSN conflicts.</w:t>
      </w:r>
    </w:p>
    <w:p>
      <w:pPr>
        <w:pStyle w:val="ListBullet"/>
      </w:pPr>
      <w:r>
        <w:t>06 Grouping: 100,000 records → 70,998 person groups; 40,978 accepted pairs co-grouped and 3,772 not co-grouped under the conservative policy.</w:t>
      </w:r>
    </w:p>
    <w:p>
      <w:pPr>
        <w:pStyle w:val="ListBullet"/>
      </w:pPr>
      <w:r>
        <w:t>07 Consolidation / 08 Validation / 09 Export: expected 70,998 persons.csv rows and Σ(record_count)=100,000; final run counts must be verified before submission.</w:t>
      </w:r>
    </w:p>
    <w:p>
      <w:pPr>
        <w:spacing w:before="80"/>
      </w:pPr>
      <w:r>
        <w:rPr>
          <w:b/>
        </w:rPr>
        <w:t xml:space="preserve">Limitation: </w:t>
      </w:r>
      <w:r>
        <w:t>These are rule-based groupings, not ground-truth verified individuals; pair retention is not precision/recall.</w:t>
      </w:r>
    </w:p>
    <w:sectPr w:rsidR="00FC693F" w:rsidRPr="0006063C" w:rsidSect="00034616">
      <w:pgSz w:w="12240" w:h="15840"/>
      <w:pgMar w:top="835" w:right="1037" w:bottom="76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6" w:hanging="173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pPr>
      <w:spacing w:before="0" w:after="60"/>
    </w:pPr>
    <w:rPr>
      <w:rFonts w:ascii="Aptos Display" w:hAnsi="Aptos Display"/>
      <w:b/>
      <w:color w:val="142D48"/>
      <w:sz w:val="28"/>
    </w:rPr>
  </w:style>
  <w:style w:type="paragraph" w:customStyle="1" w:styleId="MyHeading">
    <w:name w:val="MyHeading"/>
    <w:pPr>
      <w:spacing w:before="120" w:after="60"/>
    </w:pPr>
    <w:rPr>
      <w:rFonts w:ascii="Aptos Display" w:hAnsi="Aptos Display"/>
      <w:b/>
      <w:color w:val="142D4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