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1F4E79"/>
          <w:sz w:val="48"/>
        </w:rPr>
        <w:t>📊 Documentación Técnica Superior</w:t>
      </w:r>
    </w:p>
    <w:p>
      <w:pPr>
        <w:spacing w:after="480"/>
        <w:jc w:val="center"/>
      </w:pPr>
      <w:r>
        <w:rPr>
          <w:rFonts w:ascii="Calibri" w:hAnsi="Calibri"/>
          <w:i/>
          <w:color w:val="7F7F7F"/>
          <w:sz w:val="28"/>
        </w:rPr>
        <w:t>Franciosi Odontología — Eje de Arquitectura, Módulos y Base de Datos</w:t>
      </w:r>
    </w:p>
    <w:p>
      <w:pPr>
        <w:spacing w:after="360"/>
      </w:pPr>
      <w:r>
        <w:rPr>
          <w:rFonts w:ascii="Calibri" w:hAnsi="Calibri"/>
          <w:color w:val="7F7F7F"/>
          <w:sz w:val="20"/>
        </w:rPr>
        <w:t>📅 Relevamiento: 19/10/2026   |   🚀 Versión de la Aplicación: 1.0.0</w:t>
        <w:br/>
        <w:t>Alcance: backend FastAPI, frontend estático, scripts y suite de pruebas.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6"/>
        </w:rPr>
        <w:t>📌 0. Resumen Ejecutivo</w:t>
      </w:r>
    </w:p>
    <w:p>
      <w:pPr>
        <w:spacing w:after="200"/>
      </w:pPr>
      <w:r>
        <w:rPr>
          <w:rFonts w:ascii="Calibri" w:hAnsi="Calibri"/>
          <w:color w:val="333333"/>
          <w:sz w:val="22"/>
        </w:rPr>
        <w:t>Franciosi Odontología es un ecosistema digital de gestión integral diseñado para optimizar el flujo operativo, clínico y financiero de un consultorio dental avanzado. El sistema se consolida sobre cuatro macro-módulos estratégicos organizados de manera cohesiva.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Módulo Funcional</w:t>
            </w:r>
          </w:p>
        </w:tc>
        <w:tc>
          <w:tcPr>
            <w:tcW w:type="dxa" w:w="61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Alcance Operativo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3333"/>
                <w:sz w:val="21"/>
              </w:rPr>
              <w:t>1. Turnos y WhatsApp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1"/>
              </w:rPr>
              <w:t>Control de agendas de profesionales, asignación de citas semanales y un sistema automatizado de recordatorios integrados a la WhatsApp Cloud API de Meta junto con un Bot de respuestas frecuentes (FAQ Bot).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b/>
                <w:color w:val="333333"/>
                <w:sz w:val="21"/>
              </w:rPr>
              <w:t>2. Historia Clínica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1"/>
              </w:rPr>
              <w:t>Expediente unificado por paciente con un diseño de software estrictamente inmutable para evoluciones médicas y vinculación de archivos adjuntos (radiografías/estudios).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3333"/>
                <w:sz w:val="21"/>
              </w:rPr>
              <w:t>3. Facturación y Caja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1"/>
              </w:rPr>
              <w:t>Liquidación ágil de visitas, cruce inteligente de aranceles por obra social, cálculo automático de coseguros, cierres de caja diaria y reportes analíticos exportables en PDF nativo.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b/>
                <w:color w:val="333333"/>
                <w:sz w:val="21"/>
              </w:rPr>
              <w:t>4. Anamnesis Digital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1"/>
              </w:rPr>
              <w:t>Formulario web remoto de salud previa para el paciente, protegido mediante tokens criptográficos robustos HMAC-SHA256 para resguardar la privacidad antes de la consulta.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36"/>
        </w:rPr>
        <w:t>🏛️ 1. Diagnóstico de Arquitectura</w:t>
      </w:r>
    </w:p>
    <w:p>
      <w:r>
        <w:rPr>
          <w:rFonts w:ascii="Calibri" w:hAnsi="Calibri"/>
          <w:color w:val="333333"/>
          <w:sz w:val="22"/>
        </w:rPr>
        <w:t>El sistema califica estrictamente como un Monolito Modular Organizado por Capas Técnicas. La separación de responsabilidades es limpia e impide que la lógica de datos se mezcle con el transporte de red o la interfaz de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 / Dimensión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Implementación en Código Fuente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Conclusión de Ingeniería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Punto de Entrada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 único archivo app/main.py inicializa FastAPI, middlewares globales y ciclos de vida.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Monolito de despliegue unificado y centralizado.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Controladores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0"/>
              </w:rPr>
              <w:t>13 archivos independientes en app/api/v1/endpoints/ especializados por recurso.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0"/>
              </w:rPr>
              <w:t>Desacoplamiento total del transporte de red.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Lógica de Negocio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15 archivos puros en app/services/ que aíslan reglas operativas y financieras.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Rutinas delgadas; la lógica queda fuera de los endpoints.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Contratos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0"/>
              </w:rPr>
              <w:t>Esquemas de validación Pydantic 2.14 que segregan esquemas de creación (Create) y lectura (Read).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rPr>
                <w:rFonts w:ascii="Calibri" w:hAnsi="Calibri"/>
                <w:color w:val="333333"/>
                <w:sz w:val="20"/>
              </w:rPr>
              <w:t>Validación estricta y tipado fuerte en la frontera.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Base de Datos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15 tablas mapeadas mediante SQLAlchemy que comparten la misma sesión de persistencia.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Modelo relacional unificado, limpio y centralizado.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36"/>
        </w:rPr>
        <w:t>📊 2. Diccionario Exhaustivo de la Base de Datos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2.1. Tabla: doctores</w:t>
      </w:r>
    </w:p>
    <w:p>
      <w:pPr>
        <w:spacing w:after="120"/>
      </w:pPr>
      <w:r>
        <w:rPr>
          <w:rFonts w:ascii="Calibri" w:hAnsi="Calibri"/>
          <w:i/>
          <w:color w:val="7F7F7F"/>
          <w:sz w:val="21"/>
        </w:rPr>
        <w:t>Almacena los datos maestros de los profesionales odontólogos del consultorio y sus configuraciones de liquidación de honorarios.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/ Columna</w:t>
            </w:r>
          </w:p>
        </w:tc>
        <w:tc>
          <w:tcPr>
            <w:tcW w:type="dxa" w:w="2160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4608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Restricciones y Descripción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PK, Autoincremental. Identificador interno único.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nombre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VARCHAR(120)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NULL. Nombre completo del profesional.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especialidad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VARCHAR(120)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Especialidad dental principal.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activo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BOOLEAN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NULL. Default: true. Flag para baja lógica.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tipo_pago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VARCHAR(15)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Modalidad contractual (DUENO, COMISION, SUELDO).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valor_pago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FLOAT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NULL. Porcentaje o monto fijo según tipo_pago.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2.2. Tabla: pacientes</w:t>
      </w:r>
    </w:p>
    <w:p>
      <w:pPr>
        <w:spacing w:after="120"/>
      </w:pPr>
      <w:r>
        <w:rPr>
          <w:rFonts w:ascii="Calibri" w:hAnsi="Calibri"/>
          <w:i/>
          <w:color w:val="7F7F7F"/>
          <w:sz w:val="21"/>
        </w:rPr>
        <w:t>Contiene la base de datos de pacientes, vinculando sus datos personales con su cobertura de salud.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/ Columna</w:t>
            </w:r>
          </w:p>
        </w:tc>
        <w:tc>
          <w:tcPr>
            <w:tcW w:type="dxa" w:w="2160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4608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Restricciones y Descripción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PK, Autoincremental. Identificador único de paciente.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nombre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VARCHAR(120)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NULL. Nombre completo.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dni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NULL, UQ. Documento nacional normalizado (sin puntos).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telefono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VARCHAR(30)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NULL, IDX. Teléfono prioritario para envíos de WhatsApp.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email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VARCHAR(120)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NULL. Dirección de correo electrónico validado.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obra_social_id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NULL, FK. Enlace a obras_sociales.id (ON DELETE SET NULL).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numero_afiliado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VARCHAR(60)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NULL. Identificador de credencial de cobertura.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2.3. Tabla: turnos</w:t>
      </w:r>
    </w:p>
    <w:p>
      <w:pPr>
        <w:spacing w:after="120"/>
      </w:pPr>
      <w:r>
        <w:rPr>
          <w:rFonts w:ascii="Calibri" w:hAnsi="Calibri"/>
          <w:i/>
          <w:color w:val="7F7F7F"/>
          <w:sz w:val="21"/>
        </w:rPr>
        <w:t>Entidad central que coordina las citas médicas, el estado clínico y el ciclo de notificaciones automáticas.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/ Columna</w:t>
            </w:r>
          </w:p>
        </w:tc>
        <w:tc>
          <w:tcPr>
            <w:tcW w:type="dxa" w:w="2160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4608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Restricciones y Descripción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PK, Autoincremental. Identificador único de la cita.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paciente_id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NULL, FK. Enlace a pacientes.id (ON DELETE CASCADE).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doctor_id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NULL, FK. Enlace a doctores.id (ON DELETE CASCADE).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fecha_hora_inicio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DATETIME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NULL, IDX. Inicio de la cita (UTC naive).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fecha_hora_fin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DATETIME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Fin de la cita (Debe ser posterior al inicio).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estado_turno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VARCHAR(20)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NULL. Estados válidos: PENDIENTE, CONFIRMADO, CANCELADO.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estado_whatsapp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VARCHAR(20)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Estados: PENDIENTE_ENVIO, ENVIADO, FALLIDO, RESPONDIDO.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whatsapp_mensaje_id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VARCHAR(128)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NULL, IDX. Identificador wamid de Meta para tracking de respuestas.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2.4. Tabla: evoluciones_medicas</w:t>
      </w:r>
    </w:p>
    <w:p>
      <w:pPr>
        <w:spacing w:after="120"/>
      </w:pPr>
      <w:r>
        <w:rPr>
          <w:rFonts w:ascii="Calibri" w:hAnsi="Calibri"/>
          <w:i/>
          <w:color w:val="7F7F7F"/>
          <w:sz w:val="21"/>
        </w:rPr>
        <w:t>Registro clínico inmutable de las intervenciones dentales con valor legal.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 / Columna</w:t>
            </w:r>
          </w:p>
        </w:tc>
        <w:tc>
          <w:tcPr>
            <w:tcW w:type="dxa" w:w="2160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4608"/>
            <w:shd w:fill="5B9BD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Restricciones y Descripción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PK, Autoincremental. Identificador interno único.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historia_clinica_id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NULL, FK. Enlace a historias_clinicas.id (ON DELETE CASCADE).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doctor_id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INTEGER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NULL, FK. Profesional firmante (ON DELETE RESTRICT para blindaje).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fecha_atencion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DATETIME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NULL, IDX. Fecha y hora exacta de la prestación clínica.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motivo_consulta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Síntomas o consulta del paciente.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diagnostico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NOT NULL. Dictamen clínico determinado.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tratamiento_efectuado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NOT NULL. Detalle de procedimientos realizados.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observaciones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TEXT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  <w:shd w:fill="F9F9F9"/>
          </w:tcPr>
          <w:p>
            <w:r>
              <w:rPr>
                <w:rFonts w:ascii="Calibri" w:hAnsi="Calibri"/>
                <w:color w:val="333333"/>
                <w:sz w:val="19"/>
              </w:rPr>
              <w:t>NULL. Notas complementarias adicionales.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9"/>
          <w:sz w:val="36"/>
        </w:rPr>
        <w:t>🚀 3. Plan de Acción Recomendado</w:t>
      </w:r>
    </w:p>
    <w:p>
      <w:r>
        <w:rPr>
          <w:rFonts w:ascii="Calibri" w:hAnsi="Calibri"/>
          <w:color w:val="333333"/>
          <w:sz w:val="22"/>
        </w:rPr>
        <w:t>Para llevar el sistema de un entorno controlado a un estándar corporativo y seguro de producción en internet, se priorizan las siguientes fases técnicas:</w:t>
      </w:r>
    </w:p>
    <w:p>
      <w:pPr>
        <w:pStyle w:val="ListBullet"/>
        <w:spacing w:after="80"/>
      </w:pPr>
      <w:r>
        <w:rPr>
          <w:rFonts w:ascii="Calibri" w:hAnsi="Calibri"/>
          <w:b/>
          <w:color w:val="1F4E79"/>
          <w:sz w:val="21"/>
        </w:rPr>
        <w:t>Seguridad Perimetral (Prioridad P0):</w:t>
      </w:r>
      <w:r>
        <w:rPr>
          <w:rFonts w:ascii="Calibri" w:hAnsi="Calibri"/>
          <w:color w:val="333333"/>
          <w:sz w:val="21"/>
        </w:rPr>
        <w:t xml:space="preserve"> Integrar de forma urgente una capa de autenticación basada en tokens JWT junto con un control de acceso por roles (RBAC) para separar las capacidades de las secretarias, odontólogos y administradores contables.</w:t>
      </w:r>
    </w:p>
    <w:p>
      <w:pPr>
        <w:pStyle w:val="ListBullet"/>
        <w:spacing w:after="80"/>
      </w:pPr>
      <w:r>
        <w:rPr>
          <w:rFonts w:ascii="Calibri" w:hAnsi="Calibri"/>
          <w:b/>
          <w:color w:val="1F4E79"/>
          <w:sz w:val="21"/>
        </w:rPr>
        <w:t>Criptografía en Mensajería (Prioridad P0):</w:t>
      </w:r>
      <w:r>
        <w:rPr>
          <w:rFonts w:ascii="Calibri" w:hAnsi="Calibri"/>
          <w:color w:val="333333"/>
          <w:sz w:val="21"/>
        </w:rPr>
        <w:t xml:space="preserve"> Implementar la verificación de la firma digital X-Hub-Signature-256 en el endpoint del webhook para asegurar que las confirmaciones provengan auténticamente de Meta y no de terceros.</w:t>
      </w:r>
    </w:p>
    <w:p>
      <w:pPr>
        <w:pStyle w:val="ListBullet"/>
        <w:spacing w:after="80"/>
      </w:pPr>
      <w:r>
        <w:rPr>
          <w:rFonts w:ascii="Calibri" w:hAnsi="Calibri"/>
          <w:b/>
          <w:color w:val="1F4E79"/>
          <w:sz w:val="21"/>
        </w:rPr>
        <w:t>Persistencia Garantizada (Prioridad P1):</w:t>
      </w:r>
      <w:r>
        <w:rPr>
          <w:rFonts w:ascii="Calibri" w:hAnsi="Calibri"/>
          <w:color w:val="333333"/>
          <w:sz w:val="21"/>
        </w:rPr>
        <w:t xml:space="preserve"> Configurar las variables de entorno de PostgreSQL real en el backend de Vercel. SQLite en entornos serverless almacena datos de forma efímera y se destruye automáticamente al inactivarse la instancia.</w:t>
      </w:r>
    </w:p>
    <w:p>
      <w:pPr>
        <w:pStyle w:val="ListBullet"/>
        <w:spacing w:after="80"/>
      </w:pPr>
      <w:r>
        <w:rPr>
          <w:rFonts w:ascii="Calibri" w:hAnsi="Calibri"/>
          <w:b/>
          <w:color w:val="1F4E79"/>
          <w:sz w:val="21"/>
        </w:rPr>
        <w:t>Versionado de Datos (Prioridad P1):</w:t>
      </w:r>
      <w:r>
        <w:rPr>
          <w:rFonts w:ascii="Calibri" w:hAnsi="Calibri"/>
          <w:color w:val="333333"/>
          <w:sz w:val="21"/>
        </w:rPr>
        <w:t xml:space="preserve"> Adoptar formalmente la herramienta Alembic para gestionar el histórico evolutivo del esquema de base de datos de manera controlada y reversible.</w:t>
      </w:r>
    </w:p>
    <w:p>
      <w:pPr>
        <w:spacing w:before="480"/>
      </w:pPr>
      <w:r>
        <w:rPr>
          <w:rFonts w:ascii="Calibri" w:hAnsi="Calibri"/>
          <w:i/>
          <w:color w:val="7F7F7F"/>
          <w:sz w:val="18"/>
        </w:rPr>
        <w:t>Nota: Documento generado de forma automatizada conforme a los estándares de desarrollo y arquitectura declarados en el código fuente del repositorio.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