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14.png" ContentType="image/png"/>
  <Override PartName="/word/media/rId39.png" ContentType="image/png"/>
  <Override PartName="/word/media/rId33.png" ContentType="image/png"/>
  <Override PartName="/word/media/rId36.png" ContentType="image/png"/>
  <Override PartName="/word/media/rId18.png" ContentType="image/png"/>
  <Override PartName="/word/media/rId21.png" ContentType="image/png"/>
  <Override PartName="/word/media/rId24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ladrillo-l24"/>
    <w:p>
      <w:pPr>
        <w:pStyle w:val="Heading1"/>
      </w:pPr>
      <w:r>
        <w:t xml:space="preserve">Ladrillo (L24)</w:t>
      </w:r>
    </w:p>
    <w:p>
      <w:pPr>
        <w:pStyle w:val="FirstParagraph"/>
      </w:pPr>
      <w:r>
        <w:t xml:space="preserve">Ladrillo is a derivative of Tony Wong's BRICK2.0 model. Ladrillo was developed by Marcus C Sarofim</w:t>
      </w:r>
      <w:r>
        <w:t xml:space="preserve"> </w:t>
      </w:r>
      <w:r>
        <w:t xml:space="preserve">using the Claude model. The primary goals for Ladrillo were to add additional observational data,</w:t>
      </w:r>
      <w:r>
        <w:t xml:space="preserve"> </w:t>
      </w:r>
      <w:r>
        <w:t xml:space="preserve">update the glacier module to better match observations and to halt melting for stabilization</w:t>
      </w:r>
      <w:r>
        <w:t xml:space="preserve"> </w:t>
      </w:r>
      <w:r>
        <w:t xml:space="preserve">scenarios, update the Antarctic calibration approach to better match observations prior to 1980, and</w:t>
      </w:r>
      <w:r>
        <w:t xml:space="preserve"> </w:t>
      </w:r>
      <w:r>
        <w:t xml:space="preserve">update the Greenland model to incorporate the different responses of surface melt balance and ice</w:t>
      </w:r>
      <w:r>
        <w:t xml:space="preserve"> </w:t>
      </w:r>
      <w:r>
        <w:t xml:space="preserve">discharge.</w:t>
      </w:r>
    </w:p>
    <w:p>
      <w:pPr>
        <w:pStyle w:val="BodyText"/>
      </w:pPr>
      <w:r>
        <w:t xml:space="preserve">Ladrillo compares well relative to the other models and sits in a unique space. Unlike MAGICC,</w:t>
      </w:r>
      <w:r>
        <w:t xml:space="preserve"> </w:t>
      </w:r>
      <w:r>
        <w:t xml:space="preserve">Ladrillo is designed to work with the FaIR model. Unlike FACTS, Ladrillo has a simplified structure.</w:t>
      </w:r>
      <w:r>
        <w:t xml:space="preserve"> </w:t>
      </w:r>
      <w:r>
        <w:t xml:space="preserve">Ladrillo does a good job matching historical observations, with the primary weakness being thermal</w:t>
      </w:r>
      <w:r>
        <w:t xml:space="preserve"> </w:t>
      </w:r>
      <w:r>
        <w:t xml:space="preserve">expansion, though that is inherited from FaIR and does not appear when running with OHC from</w:t>
      </w:r>
      <w:r>
        <w:t xml:space="preserve"> </w:t>
      </w:r>
      <w:r>
        <w:t xml:space="preserve">observation. For future projections, Ladrillo matches physical expectations and is comparable to the</w:t>
      </w:r>
      <w:r>
        <w:t xml:space="preserve"> </w:t>
      </w:r>
      <w:r>
        <w:t xml:space="preserve">other models despite different structural approaches.</w:t>
      </w:r>
    </w:p>
    <w:p>
      <w:pPr>
        <w:pStyle w:val="BlockText"/>
      </w:pPr>
      <w:r>
        <w:rPr>
          <w:b/>
          <w:bCs/>
        </w:rPr>
        <w:t xml:space="preserve">Vintage.</w:t>
      </w:r>
      <w:r>
        <w:t xml:space="preserve"> </w:t>
      </w:r>
      <w:r>
        <w:t xml:space="preserve">This document describes posterior</w:t>
      </w:r>
      <w:r>
        <w:t xml:space="preserve"> </w:t>
      </w:r>
      <w:r>
        <w:rPr>
          <w:b/>
          <w:bCs/>
        </w:rPr>
        <w:t xml:space="preserve">L24</w:t>
      </w:r>
      <w:r>
        <w:t xml:space="preserve">. Basis for every number below:</w:t>
      </w:r>
      <w:r>
        <w:t xml:space="preserve"> </w:t>
      </w:r>
      <w:r>
        <w:rPr>
          <w:b/>
          <w:bCs/>
        </w:rPr>
        <w:t xml:space="preserve">cm,</w:t>
      </w:r>
      <w:r>
        <w:rPr>
          <w:b/>
          <w:bCs/>
        </w:rPr>
        <w:t xml:space="preserve"> </w:t>
      </w:r>
      <w:r>
        <w:rPr>
          <w:b/>
          <w:bCs/>
        </w:rPr>
        <w:t xml:space="preserve">re-referenced to 1995–2014</w:t>
      </w:r>
      <w:r>
        <w:t xml:space="preserve">.</w:t>
      </w:r>
    </w:p>
    <w:bookmarkStart w:id="11" w:name="ladrillo-structural-updates"/>
    <w:p>
      <w:pPr>
        <w:pStyle w:val="Heading2"/>
      </w:pPr>
      <w:r>
        <w:t xml:space="preserve">Ladrillo Structural Updates</w:t>
      </w:r>
    </w:p>
    <w:bookmarkStart w:id="9" w:name="gsic"/>
    <w:p>
      <w:pPr>
        <w:pStyle w:val="Heading3"/>
      </w:pPr>
      <w:r>
        <w:t xml:space="preserve">GSIC</w:t>
      </w:r>
    </w:p>
    <w:p>
      <w:pPr>
        <w:pStyle w:val="FirstParagraph"/>
      </w:pPr>
      <w:r>
        <w:t xml:space="preserve">BRICK 2.0's glacier model uses a Wigley-Raper equation that is always melting when above its</w:t>
      </w:r>
      <w:r>
        <w:t xml:space="preserve"> </w:t>
      </w:r>
      <w:r>
        <w:t xml:space="preserve">equilibrium temperature.</w:t>
      </w:r>
    </w:p>
    <w:p>
      <w:pPr>
        <w:pStyle w:val="BodyText"/>
      </w:pPr>
      <w:r>
        <w:t xml:space="preserve">Ladrillo replaces it with a</w:t>
      </w:r>
      <w:r>
        <w:t xml:space="preserve"> </w:t>
      </w:r>
      <w:r>
        <w:rPr>
          <w:b/>
          <w:bCs/>
        </w:rPr>
        <w:t xml:space="preserve">Mengel-style equilibrium volume</w:t>
      </w:r>
      <w:r>
        <w:t xml:space="preserve"> </w:t>
      </w:r>
      <w:r>
        <w:rPr>
          <w:rStyle w:val="VerbatimChar"/>
        </w:rPr>
        <w:t xml:space="preserve">S_eq</w:t>
      </w:r>
      <w:r>
        <w:t xml:space="preserve"> </w:t>
      </w:r>
      <w:r>
        <w:rPr>
          <w:b/>
          <w:bCs/>
        </w:rPr>
        <w:t xml:space="preserve">driven by a Nauels-ν</w:t>
      </w:r>
      <w:r>
        <w:rPr>
          <w:b/>
          <w:bCs/>
        </w:rPr>
        <w:t xml:space="preserve"> </w:t>
      </w:r>
      <w:r>
        <w:rPr>
          <w:b/>
          <w:bCs/>
        </w:rPr>
        <w:t xml:space="preserve">transient</w:t>
      </w:r>
      <w:r>
        <w:t xml:space="preserve">, which separates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ice is committed at a given warming from</w:t>
      </w:r>
      <w:r>
        <w:t xml:space="preserve"> </w:t>
      </w:r>
      <w:r>
        <w:rPr>
          <w:i/>
          <w:iCs/>
        </w:rPr>
        <w:t xml:space="preserve">how fast</w:t>
      </w:r>
      <w:r>
        <w:t xml:space="preserve"> </w:t>
      </w:r>
      <w:r>
        <w:t xml:space="preserve">it gets</w:t>
      </w:r>
      <w:r>
        <w:t xml:space="preserve"> </w:t>
      </w:r>
      <w:r>
        <w:t xml:space="preserve">there, and splits the world into three reservoirs on regional temperature.</w:t>
      </w:r>
    </w:p>
    <w:p>
      <w:pPr>
        <w:pStyle w:val="BodyText"/>
      </w:pPr>
      <w:r>
        <w:rPr>
          <w:b/>
          <w:bCs/>
        </w:rPr>
        <w:t xml:space="preserve">SLOWP — RGI regions 03, 09, 07, 06</w:t>
      </w:r>
      <w:r>
        <w:t xml:space="preserve"> </w:t>
      </w:r>
      <w:r>
        <w:t xml:space="preserve">(Arctic Canada North, Russian Arctic, Svalbard, Iceland).</w:t>
      </w:r>
      <w:r>
        <w:t xml:space="preserve"> </w:t>
      </w:r>
      <w:r>
        <w:t xml:space="preserve">Large, high-latitude, long relaxation time, and strongly amplified relative to global mean</w:t>
      </w:r>
      <w:r>
        <w:t xml:space="preserve"> </w:t>
      </w:r>
      <w:r>
        <w:t xml:space="preserve">temperature (prior 2.50). This block dominates the glacier contribution in both the hindcast and the</w:t>
      </w:r>
      <w:r>
        <w:t xml:space="preserve"> </w:t>
      </w:r>
      <w:r>
        <w:t xml:space="preserve">projections.</w:t>
      </w:r>
    </w:p>
    <w:p>
      <w:pPr>
        <w:pStyle w:val="BodyText"/>
      </w:pPr>
      <w:r>
        <w:rPr>
          <w:b/>
          <w:bCs/>
        </w:rPr>
        <w:t xml:space="preserve">FAST — the other 13 RGI regions.</w:t>
      </w:r>
      <w:r>
        <w:t xml:space="preserve"> </w:t>
      </w:r>
      <w:r>
        <w:t xml:space="preserve">Smaller, faster-responding bodies with weak amplification</w:t>
      </w:r>
      <w:r>
        <w:t xml:space="preserve"> </w:t>
      </w:r>
      <w:r>
        <w:t xml:space="preserve">(prior 1.45). It equilibrates quickly enough that its committed volume is close to its realised</w:t>
      </w:r>
      <w:r>
        <w:t xml:space="preserve"> </w:t>
      </w:r>
      <w:r>
        <w:t xml:space="preserve">volume through most of the record.</w:t>
      </w:r>
    </w:p>
    <w:p>
      <w:pPr>
        <w:pStyle w:val="BodyText"/>
      </w:pPr>
      <w:r>
        <w:rPr>
          <w:b/>
          <w:bCs/>
        </w:rPr>
        <w:t xml:space="preserve">R19 — Antarctic and Subantarctic periphery.</w:t>
      </w:r>
      <w:r>
        <w:t xml:space="preserve"> </w:t>
      </w:r>
      <w:r>
        <w:t xml:space="preserve">This block exists because the historical glacier</w:t>
      </w:r>
      <w:r>
        <w:t xml:space="preserve"> </w:t>
      </w:r>
      <w:r>
        <w:t xml:space="preserve">target (Frederikse)</w:t>
      </w:r>
      <w:r>
        <w:t xml:space="preserve"> </w:t>
      </w:r>
      <w:r>
        <w:rPr>
          <w:b/>
          <w:bCs/>
        </w:rPr>
        <w:t xml:space="preserve">assumes zero Antarctic-periphery melt</w:t>
      </w:r>
      <w:r>
        <w:t xml:space="preserve">, while the GlaMBIE series spliced in</w:t>
      </w:r>
      <w:r>
        <w:t xml:space="preserve"> </w:t>
      </w:r>
      <w:r>
        <w:t xml:space="preserve">from 2019 onward</w:t>
      </w:r>
      <w:r>
        <w:t xml:space="preserve"> </w:t>
      </w:r>
      <w:r>
        <w:rPr>
          <w:b/>
          <w:bCs/>
        </w:rPr>
        <w:t xml:space="preserve">includes it</w:t>
      </w:r>
      <w:r>
        <w:t xml:space="preserve">. Folding R19 into either SLOWP or FAST would leave the model's</w:t>
      </w:r>
      <w:r>
        <w:t xml:space="preserve"> </w:t>
      </w:r>
      <w:r>
        <w:t xml:space="preserve">hindcast scope mismatched. Keeping it separate lets the hindcast be evaluated on</w:t>
      </w:r>
      <w:r>
        <w:t xml:space="preserve"> </w:t>
      </w:r>
      <w:r>
        <w:rPr>
          <w:b/>
          <w:bCs/>
        </w:rPr>
        <w:t xml:space="preserve">SLOWP + FAST</w:t>
      </w:r>
      <w:r>
        <w:t xml:space="preserve"> </w:t>
      </w:r>
      <w:r>
        <w:t xml:space="preserve">while R19 still contributes to projected totals. Its amplification prior (0.72) is also far below the</w:t>
      </w:r>
      <w:r>
        <w:t xml:space="preserve"> </w:t>
      </w:r>
      <w:r>
        <w:t xml:space="preserve">other two, so it is not physically interchangeable with them either. (The three blocks cover 18 of</w:t>
      </w:r>
      <w:r>
        <w:t xml:space="preserve"> </w:t>
      </w:r>
      <w:r>
        <w:t xml:space="preserve">the 19 RGI regions; RGI 05, Greenland Periphery, is excluded — Frederikse's glacier target excludes</w:t>
      </w:r>
      <w:r>
        <w:t xml:space="preserve"> </w:t>
      </w:r>
      <w:r>
        <w:t xml:space="preserve">it and it falls inside the Greenland ice-sheet mask.)</w:t>
      </w:r>
    </w:p>
    <w:p>
      <w:pPr>
        <w:pStyle w:val="BodyText"/>
      </w:pPr>
      <w:r>
        <w:rPr>
          <w:b/>
          <w:bCs/>
        </w:rPr>
        <w:t xml:space="preserve">Compared with BRICK 2.0 and MAGICC.</w:t>
      </w:r>
      <w:r>
        <w:t xml:space="preserve"> </w:t>
      </w:r>
      <w:r>
        <w:t xml:space="preserve">BRICK 2.0 and Ladrillo now have completely different</w:t>
      </w:r>
      <w:r>
        <w:t xml:space="preserve"> </w:t>
      </w:r>
      <w:r>
        <w:t xml:space="preserve">glacier modules. Compared to MAGICC, both use the formulation from Nauels 2017 Eq. 3; where they</w:t>
      </w:r>
      <w:r>
        <w:t xml:space="preserve"> </w:t>
      </w:r>
      <w:r>
        <w:t xml:space="preserve">differ is the three regions used in Ladrillo. MAGICC's committed 1850 melt is 28–136 mm, Ladrillo's 63–146 mm.</w:t>
      </w:r>
    </w:p>
    <w:p>
      <w:pPr>
        <w:pStyle w:val="BodyText"/>
      </w:pPr>
      <w:r>
        <w:rPr>
          <w:b/>
          <w:bCs/>
        </w:rPr>
        <w:t xml:space="preserve">Regrowth potential.</w:t>
      </w:r>
      <w:r>
        <w:t xml:space="preserve"> </w:t>
      </w:r>
      <w:r>
        <w:t xml:space="preserve">Neither BRICK nor FACTS can regrow glacial ice, but MAGICC and Ladrillo can.</w:t>
      </w:r>
      <w:r>
        <w:t xml:space="preserve"> </w:t>
      </w:r>
      <w:r>
        <w:t xml:space="preserve">The law is</w:t>
      </w:r>
    </w:p>
    <w:p>
      <w:pPr>
        <w:pStyle w:val="SourceCode"/>
      </w:pPr>
      <w:r>
        <w:rPr>
          <w:rStyle w:val="VerbatimChar"/>
        </w:rPr>
        <w:t xml:space="preserve">S_eq = max( a·(1 − exp(−b·(T − T_off))), 0 )        # the FLOOR</w:t>
      </w:r>
      <w:r>
        <w:br/>
      </w:r>
      <w:r>
        <w:rPr>
          <w:rStyle w:val="VerbatimChar"/>
        </w:rPr>
        <w:t xml:space="preserve">dS   = min( κ·|T − T_eq|^ν, 1 ) · (S_eq − S)        # sign KEPT, not discarded</w:t>
      </w:r>
    </w:p>
    <w:p>
      <w:pPr>
        <w:pStyle w:val="FirstParagraph"/>
      </w:pPr>
      <w:r>
        <w:rPr>
          <w:b/>
          <w:bCs/>
        </w:rPr>
        <w:t xml:space="preserve">Regrowth limits.</w:t>
      </w:r>
      <w:r>
        <w:t xml:space="preserve"> </w:t>
      </w:r>
      <w:r>
        <w:t xml:space="preserve">MAGICC assumes that once ice committed to melt in 1850 has gone, it can't be</w:t>
      </w:r>
      <w:r>
        <w:t xml:space="preserve"> </w:t>
      </w:r>
      <w:r>
        <w:t xml:space="preserve">regrown, but ice past that point can be. In theory, Ladrillo can regrow up until its 1850 ice extent</w:t>
      </w:r>
      <w:r>
        <w:t xml:space="preserve"> </w:t>
      </w:r>
      <w:r>
        <w:t xml:space="preserve">(and no further), but that would require temperatures to drop below 1850 levels.</w:t>
      </w:r>
    </w:p>
    <w:bookmarkEnd w:id="9"/>
    <w:bookmarkStart w:id="10" w:name="greenland"/>
    <w:p>
      <w:pPr>
        <w:pStyle w:val="Heading3"/>
      </w:pPr>
      <w:r>
        <w:t xml:space="preserve">Greenland</w:t>
      </w:r>
    </w:p>
    <w:p>
      <w:pPr>
        <w:pStyle w:val="FirstParagraph"/>
      </w:pPr>
      <w:r>
        <w:t xml:space="preserve">BRICK 2.0 treats Greenland as</w:t>
      </w:r>
      <w:r>
        <w:t xml:space="preserve"> </w:t>
      </w:r>
      <w:r>
        <w:rPr>
          <w:b/>
          <w:bCs/>
        </w:rPr>
        <w:t xml:space="preserve">one body with one response channel</w:t>
      </w:r>
      <w:r>
        <w:t xml:space="preserve">. Ladrillo replaces that with a</w:t>
      </w:r>
      <w:r>
        <w:t xml:space="preserve"> </w:t>
      </w:r>
      <w:r>
        <w:rPr>
          <w:b/>
          <w:bCs/>
        </w:rPr>
        <w:t xml:space="preserve">two-channel, two-basin sheet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Two channels (fast / slow).</w:t>
      </w:r>
      <w:r>
        <w:t xml:space="preserve"> </w:t>
      </w:r>
      <w:r>
        <w:t xml:space="preserve">Greenland melt occurs through surface-mass-balance response (slow)</w:t>
      </w:r>
      <w:r>
        <w:t xml:space="preserve"> </w:t>
      </w:r>
      <w:r>
        <w:t xml:space="preserve">and outlet/dynamic discharge (fast). Two channels allow for that partition.</w:t>
      </w:r>
    </w:p>
    <w:p>
      <w:pPr>
        <w:pStyle w:val="BodyText"/>
      </w:pPr>
      <w:r>
        <w:rPr>
          <w:b/>
          <w:bCs/>
        </w:rPr>
        <w:t xml:space="preserve">Two basins.</w:t>
      </w:r>
      <w:r>
        <w:t xml:space="preserve"> </w:t>
      </w:r>
      <w:r>
        <w:t xml:space="preserve">The sheet is split into an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basin (SW+CW+CE+SE+NW) and a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basin</w:t>
      </w:r>
      <w:r>
        <w:t xml:space="preserve"> </w:t>
      </w:r>
      <w:r>
        <w:t xml:space="preserve">(NO+NE), each carrying its own fast/slow channel pair, with sector shares scored against Mouginot.</w:t>
      </w:r>
    </w:p>
    <w:p>
      <w:pPr>
        <w:pStyle w:val="BodyText"/>
      </w:pPr>
      <w:r>
        <w:rPr>
          <w:b/>
          <w:bCs/>
        </w:rPr>
        <w:t xml:space="preserve">Amplification.</w:t>
      </w:r>
      <w:r>
        <w:t xml:space="preserve"> </w:t>
      </w:r>
      <w:r>
        <w:t xml:space="preserve">The ratio of Greenland warming to global warming is itself a function of</w:t>
      </w:r>
      <w:r>
        <w:t xml:space="preserve"> </w:t>
      </w:r>
      <w:r>
        <w:t xml:space="preserve">temperature.</w:t>
      </w:r>
    </w:p>
    <w:p>
      <w:pPr>
        <w:pStyle w:val="BodyText"/>
      </w:pPr>
      <w:r>
        <w:rPr>
          <w:b/>
          <w:bCs/>
        </w:rPr>
        <w:t xml:space="preserve">High-basin volume tap.</w:t>
      </w:r>
      <w:r>
        <w:t xml:space="preserve"> </w:t>
      </w:r>
      <w:r>
        <w:t xml:space="preserve">A post-2100 commitment above a threshold: V = 5.64 m, τ = 800 yr, onset</w:t>
      </w:r>
      <w:r>
        <w:t xml:space="preserve"> </w:t>
      </w:r>
      <w:r>
        <w:t xml:space="preserve">4.69 K, two stages, whole-sheet. The tap does not fire until temperatures exceed the onset. It cannot</w:t>
      </w:r>
      <w:r>
        <w:t xml:space="preserve"> </w:t>
      </w:r>
      <w:r>
        <w:t xml:space="preserve">be calibrated on observations, so the parameters were informed by ISMIP6 at 2100 and SICOPOLIS at</w:t>
      </w:r>
      <w:r>
        <w:t xml:space="preserve"> </w:t>
      </w:r>
      <w:r>
        <w:t xml:space="preserve">2300 and 3001. It is included in every projection here, contributing exactly zero at SSP1-2.6 and</w:t>
      </w:r>
      <w:r>
        <w:t xml:space="preserve"> </w:t>
      </w:r>
      <w:r>
        <w:t xml:space="preserve">SSP2-4.5 and 41.8 cm to the SSP5-8.5 total at 2300.</w:t>
      </w:r>
    </w:p>
    <w:p>
      <w:pPr>
        <w:pStyle w:val="BodyText"/>
      </w:pPr>
      <w:r>
        <w:rPr>
          <w:b/>
          <w:bCs/>
        </w:rPr>
        <w:t xml:space="preserve">Compared with BRICK 2.0 and MAGICC.</w:t>
      </w:r>
      <w:r>
        <w:t xml:space="preserve"> </w:t>
      </w:r>
      <w:r>
        <w:t xml:space="preserve">Greenland is the component where the hindcast gain over</w:t>
      </w:r>
      <w:r>
        <w:t xml:space="preserve"> </w:t>
      </w:r>
      <w:r>
        <w:t xml:space="preserve">BRICK 2.0 is largest. MAGICC similarly splits Greenland into SMB and SID and parameterises against</w:t>
      </w:r>
      <w:r>
        <w:t xml:space="preserve"> </w:t>
      </w:r>
      <w:r>
        <w:t xml:space="preserve">SICOPOLIS, but with 17 parameters between the two, of which 9 vary and each of those takes only 4</w:t>
      </w:r>
      <w:r>
        <w:t xml:space="preserve"> </w:t>
      </w:r>
      <w:r>
        <w:t xml:space="preserve">distinct values.</w:t>
      </w:r>
    </w:p>
    <w:bookmarkEnd w:id="10"/>
    <w:bookmarkEnd w:id="11"/>
    <w:bookmarkStart w:id="12" w:name="ladrillo-calibration-data-updates"/>
    <w:p>
      <w:pPr>
        <w:pStyle w:val="Heading2"/>
      </w:pPr>
      <w:r>
        <w:t xml:space="preserve">Ladrillo Calibration Data Updates</w:t>
      </w:r>
    </w:p>
    <w:p>
      <w:pPr>
        <w:pStyle w:val="FirstParagraph"/>
      </w:pPr>
      <w:r>
        <w:t xml:space="preserve">Additional or replaced observational inputs, relative to BRICK 2.0: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t xml:space="preserve">what it constrains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Dangendorf 2024</w:t>
            </w:r>
            <w:r>
              <w:t xml:space="preserve"> </w:t>
            </w:r>
            <w:r>
              <w:t xml:space="preserve">GMSL</w:t>
            </w:r>
          </w:p>
        </w:tc>
        <w:tc>
          <w:tcPr/>
          <w:p>
            <w:pPr>
              <w:pStyle w:val="Compact"/>
            </w:pPr>
            <w:r>
              <w:t xml:space="preserve">The total, replacing the previous GMSL reconstruction.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GlaMBIE</w:t>
            </w:r>
            <w:r>
              <w:t xml:space="preserve"> </w:t>
            </w:r>
            <w:r>
              <w:t xml:space="preserve">glacier series (2019 onward)</w:t>
            </w:r>
          </w:p>
        </w:tc>
        <w:tc>
          <w:tcPr/>
          <w:p>
            <w:pPr>
              <w:pStyle w:val="Compact"/>
            </w:pPr>
            <w:r>
              <w:t xml:space="preserve">The modern glacier rate, spliced onto Frederikse. It</w:t>
            </w:r>
            <w:r>
              <w:t xml:space="preserve"> </w:t>
            </w:r>
            <w:r>
              <w:rPr>
                <w:b/>
                <w:bCs/>
              </w:rPr>
              <w:t xml:space="preserve">includes</w:t>
            </w:r>
            <w:r>
              <w:t xml:space="preserve"> </w:t>
            </w:r>
            <w:r>
              <w:t xml:space="preserve">Antarctic-periphery melt where Frederikse excludes it, which is why R19 is a separate block.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JPL GRACE / GRACE-FO mascons</w:t>
            </w:r>
          </w:p>
        </w:tc>
        <w:tc>
          <w:tcPr/>
          <w:p>
            <w:pPr>
              <w:pStyle w:val="Compact"/>
            </w:pPr>
            <w:r>
              <w:t xml:space="preserve">Land-water storage 2019–2026, which had been held flat; the closure σ is trend-extended over the same period.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Mouginot</w:t>
            </w:r>
            <w:r>
              <w:t xml:space="preserve"> </w:t>
            </w:r>
            <w:r>
              <w:t xml:space="preserve">Greenland sector shares</w:t>
            </w:r>
          </w:p>
        </w:tc>
        <w:tc>
          <w:tcPr/>
          <w:p>
            <w:pPr>
              <w:pStyle w:val="Compact"/>
            </w:pPr>
            <w:r>
              <w:t xml:space="preserve">The basin split, as a shares term rather than a level.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Rignot 2019</w:t>
            </w:r>
            <w:r>
              <w:t xml:space="preserve"> </w:t>
            </w:r>
            <w:r>
              <w:t xml:space="preserve">Antarctic SMB, area-corrected ×0.888</w:t>
            </w:r>
          </w:p>
        </w:tc>
        <w:tc>
          <w:tcPr/>
          <w:p>
            <w:pPr>
              <w:pStyle w:val="Compact"/>
            </w:pPr>
            <w:r>
              <w:t xml:space="preserve">The absolute Antarctic flux scale. SMB minus discharge is well constrained at −145 ± 15 Gt/yr but each flux individually has high uncertainty (±505/±509), so Rignot anchors the pair.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Glacier inventory</w:t>
            </w:r>
            <w:r>
              <w:t xml:space="preserve"> </w:t>
            </w:r>
            <w:r>
              <w:t xml:space="preserve">likelihood + a 19th-century flow constraint,</w:t>
            </w:r>
            <w:r>
              <w:t xml:space="preserve"> </w:t>
            </w:r>
            <w:r>
              <w:rPr>
                <w:rStyle w:val="VerbatimChar"/>
              </w:rPr>
              <w:t xml:space="preserve">S(1900) − S(1850) ~ N(0.020, 0.009)</w:t>
            </w:r>
            <w:r>
              <w:t xml:space="preserve"> </w:t>
            </w:r>
            <w:r>
              <w:t xml:space="preserve">m SLE</w:t>
            </w:r>
          </w:p>
        </w:tc>
        <w:tc>
          <w:tcPr/>
          <w:p>
            <w:pPr>
              <w:pStyle w:val="Compact"/>
            </w:pPr>
            <w:r>
              <w:t xml:space="preserve">The absolute inventory and the pre-observational flow, neither of which the 20th-century transient identifies on its 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CMIP6 regional amplification</w:t>
            </w:r>
            <w:r>
              <w:t xml:space="preserve"> </w:t>
            </w:r>
            <w:r>
              <w:t xml:space="preserve">(34–41 models)</w:t>
            </w:r>
          </w:p>
        </w:tc>
        <w:tc>
          <w:tcPr/>
          <w:p>
            <w:pPr>
              <w:pStyle w:val="Compact"/>
            </w:pPr>
            <w:r>
              <w:t xml:space="preserve">Priors on the per-block glacier amplification and on Antarctic amplification.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Paleo constraints</w:t>
            </w:r>
            <w:r>
              <w:t xml:space="preserve"> </w:t>
            </w:r>
            <w:r>
              <w:t xml:space="preserve">on DAIS geometry, in a standardised correlation form</w:t>
            </w:r>
          </w:p>
        </w:tc>
        <w:tc>
          <w:tcPr/>
          <w:p>
            <w:pPr>
              <w:pStyle w:val="Compact"/>
            </w:pPr>
            <w:r>
              <w:t xml:space="preserve">The seven freed geometry parameters (below).</w:t>
            </w:r>
          </w:p>
        </w:tc>
      </w:tr>
    </w:tbl>
    <w:p>
      <w:pPr>
        <w:pStyle w:val="BodyText"/>
      </w:pPr>
      <w:r>
        <w:rPr>
          <w:b/>
          <w:bCs/>
        </w:rPr>
        <w:t xml:space="preserve">Deliberately removed: IMBIE</w:t>
      </w:r>
      <w:r>
        <w:t xml:space="preserve">, dropped from the Antarctic likelihood on 2026-06-13 to avoid</w:t>
      </w:r>
      <w:r>
        <w:t xml:space="preserve"> </w:t>
      </w:r>
      <w:r>
        <w:t xml:space="preserve">double-weighting the same mass-balance information already entering through other terms.</w:t>
      </w:r>
    </w:p>
    <w:p>
      <w:pPr>
        <w:pStyle w:val="BodyText"/>
      </w:pPr>
      <w:r>
        <w:rPr>
          <w:b/>
          <w:bCs/>
        </w:rPr>
        <w:t xml:space="preserve">Forcing.</w:t>
      </w:r>
      <w:r>
        <w:t xml:space="preserve"> </w:t>
      </w:r>
      <w:r>
        <w:rPr>
          <w:b/>
          <w:bCs/>
        </w:rPr>
        <w:t xml:space="preserve">FaIR 2.2.4 (fair-calibrate 1.6.0, CMIP7 history to 2023)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Sampler.</w:t>
      </w:r>
      <w:r>
        <w:t xml:space="preserve"> </w:t>
      </w:r>
      <w:r>
        <w:t xml:space="preserve">Over-dispersed chain starts.</w:t>
      </w:r>
    </w:p>
    <w:bookmarkEnd w:id="12"/>
    <w:bookmarkStart w:id="13" w:name="ladrillo-calibration-approach-updates"/>
    <w:p>
      <w:pPr>
        <w:pStyle w:val="Heading2"/>
      </w:pPr>
      <w:r>
        <w:t xml:space="preserve">Ladrillo Calibration Approach Updates</w:t>
      </w:r>
    </w:p>
    <w:p>
      <w:pPr>
        <w:pStyle w:val="FirstParagraph"/>
      </w:pPr>
      <w:r>
        <w:rPr>
          <w:b/>
          <w:bCs/>
        </w:rPr>
        <w:t xml:space="preserve">58 parameters are sampled</w:t>
      </w:r>
      <w:r>
        <w:t xml:space="preserve">: 17 Antarctic, 9 Greenland, 19 glacier, 13 remaining (thermal</w:t>
      </w:r>
      <w:r>
        <w:t xml:space="preserve"> </w:t>
      </w:r>
      <w:r>
        <w:t xml:space="preserve">expansion, two discrepancy bases, and four AR(1) noise pairs). Three Antarctic changes carry the</w:t>
      </w:r>
      <w:r>
        <w:t xml:space="preserve"> </w:t>
      </w:r>
      <w:r>
        <w:t xml:space="preserve">improvement.</w:t>
      </w:r>
    </w:p>
    <w:p>
      <w:pPr>
        <w:pStyle w:val="BodyText"/>
      </w:pPr>
      <w:r>
        <w:rPr>
          <w:b/>
          <w:bCs/>
        </w:rPr>
        <w:t xml:space="preserve">The seven DAIS geometry parameters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ais_mu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ais_bedheight0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ais_slope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ais_iceflow0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ais_precip0_LOG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ais_runoff_Ton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ais_c</w:t>
      </w:r>
      <w:r>
        <w:t xml:space="preserve">) are freed under a</w:t>
      </w:r>
      <w:r>
        <w:t xml:space="preserve"> </w:t>
      </w:r>
      <w:r>
        <w:rPr>
          <w:b/>
          <w:bCs/>
        </w:rPr>
        <w:t xml:space="preserve">joint paleo prior</w:t>
      </w:r>
      <w:r>
        <w:t xml:space="preserve"> </w:t>
      </w:r>
      <w:r>
        <w:t xml:space="preserve">in standardised</w:t>
      </w:r>
      <w:r>
        <w:t xml:space="preserve"> </w:t>
      </w:r>
      <w:r>
        <w:t xml:space="preserve">correlation form — condition number 2.75, against 5.2 × 10¹³ for the raw covariance. ⭐</w:t>
      </w:r>
      <w:r>
        <w:t xml:space="preserve"> </w:t>
      </w:r>
      <w:r>
        <w:rPr>
          <w:b/>
          <w:bCs/>
        </w:rPr>
        <w:t xml:space="preserve">This is the</w:t>
      </w:r>
      <w:r>
        <w:rPr>
          <w:b/>
          <w:bCs/>
        </w:rPr>
        <w:t xml:space="preserve"> </w:t>
      </w:r>
      <w:r>
        <w:rPr>
          <w:b/>
          <w:bCs/>
        </w:rPr>
        <w:t xml:space="preserve">change that fixed the pre-1990 Antarctic melt</w:t>
      </w:r>
      <w:r>
        <w:t xml:space="preserve">: with the geometry fixed at the prior medoid, BRICK</w:t>
      </w:r>
      <w:r>
        <w:t xml:space="preserve"> </w:t>
      </w:r>
      <w:r>
        <w:t xml:space="preserve">2.0 draws far more early-20th-century Antarctic mass loss than the record supports, while Ladrillo</w:t>
      </w:r>
      <w:r>
        <w:t xml:space="preserve"> </w:t>
      </w:r>
      <w:r>
        <w:t xml:space="preserve">tracks the observations to within a hundredth of a centimetre.</w:t>
      </w:r>
    </w:p>
    <w:p>
      <w:pPr>
        <w:pStyle w:val="BodyText"/>
      </w:pPr>
      <w:r>
        <w:rPr>
          <w:b/>
          <w:bCs/>
        </w:rPr>
        <w:t xml:space="preserve">The runoff line is sampled in its identified direction.</w:t>
      </w:r>
      <w:r>
        <w:t xml:space="preserve"> </w:t>
      </w:r>
      <w:r>
        <w:rPr>
          <w:rStyle w:val="VerbatimChar"/>
        </w:rPr>
        <w:t xml:space="preserve">h0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enter only as</w:t>
      </w:r>
      <w:r>
        <w:t xml:space="preserve"> </w:t>
      </w:r>
      <w:r>
        <w:rPr>
          <w:rStyle w:val="VerbatimChar"/>
        </w:rPr>
        <w:t xml:space="preserve">hR = h0 + c·T_ant</w:t>
      </w:r>
      <w:r>
        <w:t xml:space="preserve">, so individually they ride a correlation-0.9997 ridge no sampler can traverse.</w:t>
      </w:r>
      <w:r>
        <w:t xml:space="preserve"> </w:t>
      </w:r>
      <w:r>
        <w:t xml:space="preserve">Ladrillo samples</w:t>
      </w:r>
      <w:r>
        <w:t xml:space="preserve"> </w:t>
      </w:r>
      <w:r>
        <w:rPr>
          <w:rStyle w:val="VerbatimChar"/>
        </w:rPr>
        <w:t xml:space="preserve">T_on = −h0/c</w:t>
      </w:r>
      <w:r>
        <w:t xml:space="preserve">, the runoff</w:t>
      </w:r>
      <w:r>
        <w:t xml:space="preserve"> </w:t>
      </w:r>
      <w:r>
        <w:rPr>
          <w:b/>
          <w:bCs/>
        </w:rPr>
        <w:t xml:space="preserve">onset temperature</w:t>
      </w:r>
      <w:r>
        <w:t xml:space="preserve">, which is what the data constrain.</w:t>
      </w:r>
    </w:p>
    <w:p>
      <w:pPr>
        <w:pStyle w:val="BodyText"/>
      </w:pPr>
      <w:r>
        <w:rPr>
          <w:b/>
          <w:bCs/>
        </w:rPr>
        <w:t xml:space="preserve">Antarctic amplification is a key parameter.</w:t>
      </w:r>
      <w:r>
        <w:t xml:space="preserve"> </w:t>
      </w:r>
      <w:r>
        <w:t xml:space="preserve">Stock DAIS hard-codes 1.196. Ladrillo samples it</w:t>
      </w:r>
      <w:r>
        <w:t xml:space="preserve"> </w:t>
      </w:r>
      <w:r>
        <w:t xml:space="preserve">under N(1.09, 0.180), the measured CMIP6 between-model spread. The parameter is not constrained by</w:t>
      </w:r>
      <w:r>
        <w:t xml:space="preserve"> </w:t>
      </w:r>
      <w:r>
        <w:t xml:space="preserve">observation — the posterior is very close to the prior — and a one-sigma change moves Antarctic sea</w:t>
      </w:r>
      <w:r>
        <w:t xml:space="preserve"> </w:t>
      </w:r>
      <w:r>
        <w:t xml:space="preserve">level at 2300 by about 69 cm on SSP5-8.5, roughly 13% of that scenario's total. ⚠ That is leverage on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trajectory</w:t>
      </w:r>
      <w:r>
        <w:t xml:space="preserve">, not on the reported band: widening the prior 1.8× (L23 → L24) widened the AIS@2300</w:t>
      </w:r>
      <w:r>
        <w:t xml:space="preserve"> </w:t>
      </w:r>
      <w:r>
        <w:t xml:space="preserve">spread only</w:t>
      </w:r>
      <w:r>
        <w:t xml:space="preserve"> </w:t>
      </w:r>
      <w:r>
        <w:rPr>
          <w:b/>
          <w:bCs/>
        </w:rPr>
        <w:t xml:space="preserve">1.07×</w:t>
      </w:r>
      <w:r>
        <w:t xml:space="preserve"> </w:t>
      </w:r>
      <w:r>
        <w:t xml:space="preserve">(93.1 → 99.5 cm).</w:t>
      </w:r>
    </w:p>
    <w:p>
      <w:pPr>
        <w:pStyle w:val="BodyText"/>
      </w:pPr>
      <w:r>
        <w:rPr>
          <w:b/>
          <w:bCs/>
        </w:rPr>
        <w:t xml:space="preserve">Criterion matching.</w:t>
      </w:r>
      <w:r>
        <w:t xml:space="preserve"> </w:t>
      </w:r>
      <w:r>
        <w:t xml:space="preserve">L24 is accepted under the deliverable criterion:</w:t>
      </w:r>
      <w:r>
        <w:t xml:space="preserve"> </w:t>
      </w:r>
      <w:r>
        <w:t xml:space="preserve">19 parameter marginals fail R̂ &lt; 1.05 (primarily the Antarctic-geometry ridge) while</w:t>
      </w:r>
      <w:r>
        <w:t xml:space="preserve"> </w:t>
      </w:r>
      <w:r>
        <w:rPr>
          <w:b/>
          <w:bCs/>
        </w:rPr>
        <w:t xml:space="preserve">projected</w:t>
      </w:r>
      <w:r>
        <w:rPr>
          <w:b/>
          <w:bCs/>
        </w:rPr>
        <w:t xml:space="preserve"> </w:t>
      </w:r>
      <w:r>
        <w:rPr>
          <w:b/>
          <w:bCs/>
        </w:rPr>
        <w:t xml:space="preserve">sea level converges</w:t>
      </w:r>
      <w:r>
        <w:t xml:space="preserve"> </w:t>
      </w:r>
      <w:r>
        <w:t xml:space="preserve">(R̂ = 1.008 at 2100, 1.011 at 2150; ESS ≈ 1050).</w:t>
      </w:r>
    </w:p>
    <w:bookmarkEnd w:id="13"/>
    <w:bookmarkStart w:id="17" w:name="ladrillo-observational-comparison"/>
    <w:p>
      <w:pPr>
        <w:pStyle w:val="Heading2"/>
      </w:pPr>
      <w:r>
        <w:t xml:space="preserve">Ladrillo Observational Comparison</w:t>
      </w:r>
    </w:p>
    <w:p>
      <w:pPr>
        <w:pStyle w:val="FirstParagraph"/>
      </w:pPr>
      <w:r>
        <w:drawing>
          <wp:inline>
            <wp:extent cx="5334000" cy="2959509"/>
            <wp:effectExtent b="0" l="0" r="0" t="0"/>
            <wp:docPr descr="Hindcast: Ladrillo L24 vs BRICK 2.0 vs observations" title="" id="15" name="Picture"/>
            <a:graphic>
              <a:graphicData uri="http://schemas.openxmlformats.org/drawingml/2006/picture">
                <pic:pic>
                  <pic:nvPicPr>
                    <pic:cNvPr descr="figures/hindcast_components_L24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95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1.</w:t>
      </w:r>
      <w:r>
        <w:t xml:space="preserve"> </w:t>
      </w:r>
      <w:r>
        <w:t xml:space="preserve">Component hindcasts, 1900–2026, against the calibration targets.</w:t>
      </w:r>
    </w:p>
    <w:p>
      <w:pPr>
        <w:pStyle w:val="BodyText"/>
      </w:pPr>
      <w:r>
        <w:t xml:space="preserve">RMSE ratio against BRICK 2.0 —</w:t>
      </w:r>
      <w:r>
        <w:t xml:space="preserve"> </w:t>
      </w:r>
      <w:r>
        <w:rPr>
          <w:b/>
          <w:bCs/>
        </w:rPr>
        <w:t xml:space="preserve">below 1 means Ladrillo is closer to the observations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1920–1949</w:t>
            </w:r>
          </w:p>
        </w:tc>
        <w:tc>
          <w:tcPr/>
          <w:p>
            <w:pPr>
              <w:pStyle w:val="Compact"/>
            </w:pPr>
            <w:r>
              <w:t xml:space="preserve">1950–1992</w:t>
            </w:r>
          </w:p>
        </w:tc>
        <w:tc>
          <w:tcPr/>
          <w:p>
            <w:pPr>
              <w:pStyle w:val="Compact"/>
            </w:pPr>
            <w:r>
              <w:t xml:space="preserve">1993–2026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Antarctica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0.555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Greenland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0.054</w:t>
            </w:r>
          </w:p>
        </w:tc>
        <w:tc>
          <w:tcPr/>
          <w:p>
            <w:pPr>
              <w:pStyle w:val="Compact"/>
            </w:pPr>
            <w:r>
              <w:t xml:space="preserve">0.272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Glaciers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0.361</w:t>
            </w:r>
          </w:p>
        </w:tc>
        <w:tc>
          <w:tcPr/>
          <w:p>
            <w:pPr>
              <w:pStyle w:val="Compact"/>
            </w:pPr>
            <w:r>
              <w:t xml:space="preserve">1.027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 expansion</w:t>
            </w:r>
          </w:p>
        </w:tc>
        <w:tc>
          <w:tcPr/>
          <w:p>
            <w:pPr>
              <w:pStyle w:val="Compact"/>
            </w:pPr>
            <w:r>
              <w:t xml:space="preserve">1.150</w:t>
            </w:r>
          </w:p>
        </w:tc>
        <w:tc>
          <w:tcPr/>
          <w:p>
            <w:pPr>
              <w:pStyle w:val="Compact"/>
            </w:pPr>
            <w:r>
              <w:t xml:space="preserve">1.137</w:t>
            </w:r>
          </w:p>
        </w:tc>
        <w:tc>
          <w:tcPr/>
          <w:p>
            <w:pPr>
              <w:pStyle w:val="Compact"/>
            </w:pPr>
            <w:r>
              <w:t xml:space="preserve">1.462</w:t>
            </w:r>
          </w:p>
        </w:tc>
        <w:tc>
          <w:tcPr/>
          <w:p>
            <w:pPr>
              <w:pStyle w:val="Compact"/>
            </w:pPr>
            <w:r>
              <w:t xml:space="preserve">1.236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0.277</w:t>
            </w:r>
          </w:p>
        </w:tc>
        <w:tc>
          <w:tcPr/>
          <w:p>
            <w:pPr>
              <w:pStyle w:val="Compact"/>
            </w:pPr>
            <w:r>
              <w:t xml:space="preserve">1.128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0.373</w:t>
            </w:r>
          </w:p>
        </w:tc>
      </w:tr>
    </w:tbl>
    <w:p>
      <w:pPr>
        <w:pStyle w:val="BodyText"/>
      </w:pPr>
      <w:r>
        <w:t xml:space="preserve">Ladrillo is closer to the observations than BRICK 2.0 on</w:t>
      </w:r>
      <w:r>
        <w:t xml:space="preserve"> </w:t>
      </w:r>
      <w:r>
        <w:rPr>
          <w:b/>
          <w:bCs/>
        </w:rPr>
        <w:t xml:space="preserve">every ice component in every window</w:t>
      </w:r>
      <w:r>
        <w:t xml:space="preserve"> </w:t>
      </w:r>
      <w:r>
        <w:t xml:space="preserve">— by</w:t>
      </w:r>
      <w:r>
        <w:t xml:space="preserve"> </w:t>
      </w:r>
      <w:r>
        <w:t xml:space="preserve">two orders of magnitude on early-20th-century Antarctica, and by roughly a factor of ten on</w:t>
      </w:r>
      <w:r>
        <w:t xml:space="preserve"> </w:t>
      </w:r>
      <w:r>
        <w:t xml:space="preserve">Greenland. Cumulative 1900–2026 totals: observed 7.81 cm, Ladrillo 8.55, BRICK 2.0 8.45, against an</w:t>
      </w:r>
      <w:r>
        <w:t xml:space="preserve"> </w:t>
      </w:r>
      <w:r>
        <w:t xml:space="preserve">independent IGCC check of 8.33.</w:t>
      </w:r>
    </w:p>
    <w:p>
      <w:pPr>
        <w:pStyle w:val="BodyText"/>
      </w:pPr>
      <w:r>
        <w:rPr>
          <w:b/>
          <w:bCs/>
        </w:rPr>
        <w:t xml:space="preserve">For thermal expansion Ladrillo is worse than BRICK 2.0, and the cause is FaIR.</w:t>
      </w:r>
      <w:r>
        <w:t xml:space="preserve"> </w:t>
      </w:r>
      <w:r>
        <w:t xml:space="preserve">In both models</w:t>
      </w:r>
      <w:r>
        <w:t xml:space="preserve"> </w:t>
      </w:r>
      <w:r>
        <w:t xml:space="preserve">thermal expansion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proportional to the ocean heat they are given, and both are given the</w:t>
      </w:r>
      <w:r>
        <w:t xml:space="preserve"> </w:t>
      </w:r>
      <w:r>
        <w:t xml:space="preserve">same FaIR driver — so the miss is shared (BRICK 2.0 misses the same cell at 1.17×) and the same</w:t>
      </w:r>
      <w:r>
        <w:t xml:space="preserve"> </w:t>
      </w:r>
      <w:r>
        <w:t xml:space="preserve">driver correction would apply to both. Against</w:t>
      </w:r>
      <w:r>
        <w:t xml:space="preserve"> </w:t>
      </w:r>
      <w:r>
        <w:rPr>
          <w:i/>
          <w:iCs/>
        </w:rPr>
        <w:t xml:space="preserve">observed</w:t>
      </w:r>
      <w:r>
        <w:t xml:space="preserve"> </w:t>
      </w:r>
      <w:r>
        <w:t xml:space="preserve">ocean heat a single constant coefficient</w:t>
      </w:r>
      <w:r>
        <w:t xml:space="preserve"> </w:t>
      </w:r>
      <w:r>
        <w:t xml:space="preserve">≈ 0.11 reproduces the steric target across 1900–1950, 1950–1993 and 1993–2024 to within 3%, and</w:t>
      </w:r>
      <w:r>
        <w:t xml:space="preserve"> </w:t>
      </w:r>
      <w:r>
        <w:t xml:space="preserve">Ladrillo's fitted 0.11252 sits inside that range. Half the apparent miss is depth scope: FaIR's ocean</w:t>
      </w:r>
      <w:r>
        <w:t xml:space="preserve"> </w:t>
      </w:r>
      <w:r>
        <w:t xml:space="preserve">heat is full-depth while the steric target is 0–2000 m, and correcting on IGCC's own &gt;2000 m layer</w:t>
      </w:r>
      <w:r>
        <w:t xml:space="preserve"> </w:t>
      </w:r>
      <w:r>
        <w:t xml:space="preserve">takes the 1993–2026 rate ratio from 1.27× to 1.15×. A depth-resolved coefficient was tested and</w:t>
      </w:r>
      <w:r>
        <w:t xml:space="preserve"> </w:t>
      </w:r>
      <w:r>
        <w:t xml:space="preserve">failed, though that may reflect observational uncertainty — Cheng and IGCC disagree by ~50% on</w:t>
      </w:r>
      <w:r>
        <w:t xml:space="preserve"> </w:t>
      </w:r>
      <w:r>
        <w:t xml:space="preserve">1950–1993 ocean heat gain.</w:t>
      </w:r>
    </w:p>
    <w:bookmarkEnd w:id="17"/>
    <w:bookmarkStart w:id="45" w:name="ladrillo-projection-comparison"/>
    <w:p>
      <w:pPr>
        <w:pStyle w:val="Heading2"/>
      </w:pPr>
      <w:r>
        <w:t xml:space="preserve">Ladrillo Projection Comparison</w:t>
      </w:r>
    </w:p>
    <w:p>
      <w:pPr>
        <w:pStyle w:val="FirstParagraph"/>
      </w:pPr>
      <w:r>
        <w:t xml:space="preserve">The van Vuuren markers are the</w:t>
      </w:r>
      <w:r>
        <w:t xml:space="preserve"> </w:t>
      </w:r>
      <w:r>
        <w:rPr>
          <w:b/>
          <w:bCs/>
        </w:rPr>
        <w:t xml:space="preserve">primary</w:t>
      </w:r>
      <w:r>
        <w:t xml:space="preserve"> </w:t>
      </w:r>
      <w:r>
        <w:t xml:space="preserve">comparison; the SSPs are a secondary set and the control,</w:t>
      </w:r>
      <w:r>
        <w:t xml:space="preserve"> </w:t>
      </w:r>
      <w:r>
        <w:t xml:space="preserve">being the only scenarios with a prior result to check the pipeline against. All Ladrillo bands are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</w:t>
      </w:r>
      <w:r>
        <w:t xml:space="preserve"> </w:t>
      </w:r>
      <w:r>
        <w:t xml:space="preserve">(posterior × FaIR-forcing) arm, width-comparable to MAGICC and FACTS; BRICK 2.0's joint</w:t>
      </w:r>
      <w:r>
        <w:t xml:space="preserve"> </w:t>
      </w:r>
      <w:r>
        <w:t xml:space="preserve">band uses the same cubes, splice pivot and pair seed.</w:t>
      </w:r>
    </w:p>
    <w:p>
      <w:pPr>
        <w:pStyle w:val="BodyText"/>
      </w:pPr>
      <w:r>
        <w:drawing>
          <wp:inline>
            <wp:extent cx="5334000" cy="2607733"/>
            <wp:effectExtent b="0" l="0" r="0" t="0"/>
            <wp:docPr descr="van Vuuren markers by component, 2100" title="" id="19" name="Picture"/>
            <a:graphic>
              <a:graphicData uri="http://schemas.openxmlformats.org/drawingml/2006/picture">
                <pic:pic>
                  <pic:nvPicPr>
                    <pic:cNvPr descr="figures/model_comparison_components_vv_L24_2100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7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2.</w:t>
      </w:r>
      <w:r>
        <w:t xml:space="preserve"> </w:t>
      </w:r>
      <w:r>
        <w:t xml:space="preserve">Ladrillo L24 against BRICK 2.0, FACTS and MAGICC-SLR across the seven van Vuuren markers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2100</w:t>
      </w:r>
      <w:r>
        <w:t xml:space="preserve">, by component.</w:t>
      </w:r>
    </w:p>
    <w:p>
      <w:pPr>
        <w:pStyle w:val="BodyText"/>
      </w:pPr>
      <w:r>
        <w:drawing>
          <wp:inline>
            <wp:extent cx="5334000" cy="2607733"/>
            <wp:effectExtent b="0" l="0" r="0" t="0"/>
            <wp:docPr descr="van Vuuren markers by component, 2150" title="" id="22" name="Picture"/>
            <a:graphic>
              <a:graphicData uri="http://schemas.openxmlformats.org/drawingml/2006/picture">
                <pic:pic>
                  <pic:nvPicPr>
                    <pic:cNvPr descr="figures/model_comparison_components_vv_L24_215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7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3.</w:t>
      </w:r>
      <w:r>
        <w:t xml:space="preserve"> </w:t>
      </w:r>
      <w:r>
        <w:t xml:space="preserve">The same comparison at</w:t>
      </w:r>
      <w:r>
        <w:t xml:space="preserve"> </w:t>
      </w:r>
      <w:r>
        <w:rPr>
          <w:b/>
          <w:bCs/>
        </w:rPr>
        <w:t xml:space="preserve">2150</w:t>
      </w:r>
      <w:r>
        <w:t xml:space="preserve">.</w:t>
      </w:r>
    </w:p>
    <w:p>
      <w:pPr>
        <w:pStyle w:val="BodyText"/>
      </w:pPr>
      <w:r>
        <w:drawing>
          <wp:inline>
            <wp:extent cx="5334000" cy="2607733"/>
            <wp:effectExtent b="0" l="0" r="0" t="0"/>
            <wp:docPr descr="van Vuuren markers by component, 2300" title="" id="25" name="Picture"/>
            <a:graphic>
              <a:graphicData uri="http://schemas.openxmlformats.org/drawingml/2006/picture">
                <pic:pic>
                  <pic:nvPicPr>
                    <pic:cNvPr descr="figures/model_comparison_components_vv_L24_2300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7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4.</w:t>
      </w:r>
      <w:r>
        <w:t xml:space="preserve"> </w:t>
      </w:r>
      <w:r>
        <w:t xml:space="preserve">The same comparison at</w:t>
      </w:r>
      <w:r>
        <w:t xml:space="preserve"> </w:t>
      </w:r>
      <w:r>
        <w:rPr>
          <w:b/>
          <w:bCs/>
        </w:rPr>
        <w:t xml:space="preserve">2300</w:t>
      </w:r>
      <w:r>
        <w:t xml:space="preserve">.</w:t>
      </w:r>
    </w:p>
    <w:p>
      <w:pPr>
        <w:pStyle w:val="BodyText"/>
      </w:pPr>
      <w:r>
        <w:drawing>
          <wp:inline>
            <wp:extent cx="5334000" cy="2959509"/>
            <wp:effectExtent b="0" l="0" r="0" t="0"/>
            <wp:docPr descr="van Vuuren component trajectories" title="" id="28" name="Picture"/>
            <a:graphic>
              <a:graphicData uri="http://schemas.openxmlformats.org/drawingml/2006/picture">
                <pic:pic>
                  <pic:nvPicPr>
                    <pic:cNvPr descr="figures/future_components_vv_L24_joint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95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5.</w:t>
      </w:r>
      <w:r>
        <w:t xml:space="preserve"> </w:t>
      </w:r>
      <w:r>
        <w:t xml:space="preserve">Component trajectories across the van Vuuren markers, joint band.</w:t>
      </w:r>
    </w:p>
    <w:p>
      <w:pPr>
        <w:pStyle w:val="BodyText"/>
      </w:pPr>
      <w:r>
        <w:drawing>
          <wp:inline>
            <wp:extent cx="5334000" cy="5009269"/>
            <wp:effectExtent b="0" l="0" r="0" t="0"/>
            <wp:docPr descr="Glacier response on the declining markers" title="" id="31" name="Picture"/>
            <a:graphic>
              <a:graphicData uri="http://schemas.openxmlformats.org/drawingml/2006/picture">
                <pic:pic>
                  <pic:nvPicPr>
                    <pic:cNvPr descr="figures/vv_gsic_wr_vs_ladrillo_2300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09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6.</w:t>
      </w:r>
      <w:r>
        <w:t xml:space="preserve"> </w:t>
      </w:r>
      <w:r>
        <w:t xml:space="preserve">⭐ The glacier contribution at 2300 across the markers, against the Wigley–Raper</w:t>
      </w:r>
      <w:r>
        <w:t xml:space="preserve"> </w:t>
      </w:r>
      <w:r>
        <w:t xml:space="preserve">formulation BRICK 2.0 uses. This is where the floored-equilibrium law is visible: Ladrillo halts and</w:t>
      </w:r>
      <w:r>
        <w:t xml:space="preserve"> </w:t>
      </w:r>
      <w:r>
        <w:t xml:space="preserve">reverses on the declining markers where a melt-only reservoir cannot.</w:t>
      </w:r>
    </w:p>
    <w:bookmarkStart w:id="42" w:name="secondary-the-ssps"/>
    <w:p>
      <w:pPr>
        <w:pStyle w:val="Heading3"/>
      </w:pPr>
      <w:r>
        <w:t xml:space="preserve">Secondary: the SSPs</w:t>
      </w:r>
    </w:p>
    <w:p>
      <w:pPr>
        <w:pStyle w:val="FirstParagraph"/>
      </w:pPr>
      <w:r>
        <w:drawing>
          <wp:inline>
            <wp:extent cx="5334000" cy="3090041"/>
            <wp:effectExtent b="0" l="0" r="0" t="0"/>
            <wp:docPr descr="Component comparison at 2100" title="" id="34" name="Picture"/>
            <a:graphic>
              <a:graphicData uri="http://schemas.openxmlformats.org/drawingml/2006/picture">
                <pic:pic>
                  <pic:nvPicPr>
                    <pic:cNvPr descr="figures/model_comparison_components_L24_2100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00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7.</w:t>
      </w:r>
      <w:r>
        <w:t xml:space="preserve"> </w:t>
      </w:r>
      <w:r>
        <w:t xml:space="preserve">The SSP comparison at</w:t>
      </w:r>
      <w:r>
        <w:t xml:space="preserve"> </w:t>
      </w:r>
      <w:r>
        <w:rPr>
          <w:b/>
          <w:bCs/>
        </w:rPr>
        <w:t xml:space="preserve">2100</w:t>
      </w:r>
      <w:r>
        <w:t xml:space="preserve">.</w:t>
      </w:r>
    </w:p>
    <w:p>
      <w:pPr>
        <w:pStyle w:val="BodyText"/>
      </w:pPr>
      <w:r>
        <w:drawing>
          <wp:inline>
            <wp:extent cx="5334000" cy="3090041"/>
            <wp:effectExtent b="0" l="0" r="0" t="0"/>
            <wp:docPr descr="Component comparison at 2300" title="" id="37" name="Picture"/>
            <a:graphic>
              <a:graphicData uri="http://schemas.openxmlformats.org/drawingml/2006/picture">
                <pic:pic>
                  <pic:nvPicPr>
                    <pic:cNvPr descr="figures/model_comparison_components_L24_2300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00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8.</w:t>
      </w:r>
      <w:r>
        <w:t xml:space="preserve"> </w:t>
      </w:r>
      <w:r>
        <w:t xml:space="preserve">The SSP comparison at</w:t>
      </w:r>
      <w:r>
        <w:t xml:space="preserve"> </w:t>
      </w:r>
      <w:r>
        <w:rPr>
          <w:b/>
          <w:bCs/>
        </w:rPr>
        <w:t xml:space="preserve">2300</w:t>
      </w:r>
      <w:r>
        <w:t xml:space="preserve">, where only MAGICC-SLR and BRICK 2.0 extend.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Total sea level by SSP" title="" id="40" name="Picture"/>
            <a:graphic>
              <a:graphicData uri="http://schemas.openxmlformats.org/drawingml/2006/picture">
                <pic:pic>
                  <pic:nvPicPr>
                    <pic:cNvPr descr="figures/ladrillo_L24_fig2_ssp_tota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9.</w:t>
      </w:r>
      <w:r>
        <w:t xml:space="preserve"> </w:t>
      </w:r>
      <w:r>
        <w:t xml:space="preserve">Total sea level by SSP, Ladrillo L24 joint band. Totals at 2300:</w:t>
      </w:r>
      <w:r>
        <w:t xml:space="preserve"> </w:t>
      </w:r>
      <w:r>
        <w:rPr>
          <w:b/>
          <w:bCs/>
        </w:rPr>
        <w:t xml:space="preserve">72.6 cm</w:t>
      </w:r>
      <w:r>
        <w:t xml:space="preserve"> </w:t>
      </w:r>
      <w:r>
        <w:t xml:space="preserve">(SSP1-2.6),</w:t>
      </w:r>
      <w:r>
        <w:t xml:space="preserve"> </w:t>
      </w:r>
      <w:r>
        <w:rPr>
          <w:b/>
          <w:bCs/>
        </w:rPr>
        <w:t xml:space="preserve">249.2 cm</w:t>
      </w:r>
      <w:r>
        <w:t xml:space="preserve"> </w:t>
      </w:r>
      <w:r>
        <w:t xml:space="preserve">(SSP2-4.5),</w:t>
      </w:r>
      <w:r>
        <w:t xml:space="preserve"> </w:t>
      </w:r>
      <w:r>
        <w:rPr>
          <w:b/>
          <w:bCs/>
        </w:rPr>
        <w:t xml:space="preserve">516.7 cm</w:t>
      </w:r>
      <w:r>
        <w:t xml:space="preserve"> </w:t>
      </w:r>
      <w:r>
        <w:t xml:space="preserve">(SSP5-8.5).</w:t>
      </w:r>
    </w:p>
    <w:bookmarkEnd w:id="42"/>
    <w:bookmarkStart w:id="43" w:name="Xce0668475c0b0274c977dd37ba90259edcfba33"/>
    <w:p>
      <w:pPr>
        <w:pStyle w:val="Heading3"/>
      </w:pPr>
      <w:r>
        <w:t xml:space="preserve">Ladrillo compared to MAGICC on MAGICC's own climate</w:t>
      </w:r>
    </w:p>
    <w:p>
      <w:pPr>
        <w:pStyle w:val="FirstParagraph"/>
      </w:pPr>
      <w:r>
        <w:t xml:space="preserve">⚠ Comparing two sea-level models on</w:t>
      </w:r>
      <w:r>
        <w:t xml:space="preserve"> </w:t>
      </w:r>
      <w:r>
        <w:rPr>
          <w:b/>
          <w:bCs/>
        </w:rPr>
        <w:t xml:space="preserve">different climate drivers</w:t>
      </w:r>
      <w:r>
        <w:t xml:space="preserve"> </w:t>
      </w:r>
      <w:r>
        <w:t xml:space="preserve">confounds the module with the</w:t>
      </w:r>
      <w:r>
        <w:t xml:space="preserve"> </w:t>
      </w:r>
      <w:r>
        <w:t xml:space="preserve">forcing. Ladrillo was therefore re-run on</w:t>
      </w:r>
      <w:r>
        <w:t xml:space="preserve"> </w:t>
      </w:r>
      <w:r>
        <w:rPr>
          <w:b/>
          <w:bCs/>
        </w:rPr>
        <w:t xml:space="preserve">MAGICC's climate</w:t>
      </w:r>
      <w:r>
        <w:t xml:space="preserve"> </w:t>
      </w:r>
      <w:r>
        <w:t xml:space="preserve">as well as FaIR's, so the remaining</w:t>
      </w:r>
      <w:r>
        <w:t xml:space="preserve"> </w:t>
      </w:r>
      <w:r>
        <w:t xml:space="preserve">difference is structural. This arm is what licenses any statement that a Ladrillo/MAGICC-SLR</w:t>
      </w:r>
      <w:r>
        <w:t xml:space="preserve"> </w:t>
      </w:r>
      <w:r>
        <w:t xml:space="preserve">difference is 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difference.</w:t>
      </w:r>
    </w:p>
    <w:bookmarkEnd w:id="43"/>
    <w:bookmarkStart w:id="44" w:name="X24c92579f6713723bf9ed7066aed63ccd1e3f3f"/>
    <w:p>
      <w:pPr>
        <w:pStyle w:val="Heading3"/>
      </w:pPr>
      <w:r>
        <w:t xml:space="preserve">Physical intuition — how Ladrillo behaves by scenario class</w:t>
      </w:r>
    </w:p>
    <w:p>
      <w:pPr>
        <w:pStyle w:val="FirstParagraph"/>
      </w:pPr>
      <w:r>
        <w:rPr>
          <w:b/>
          <w:bCs/>
        </w:rPr>
        <w:t xml:space="preserve">High scenarios.</w:t>
      </w:r>
      <w:r>
        <w:t xml:space="preserve"> </w:t>
      </w:r>
      <w:r>
        <w:t xml:space="preserve">Ladrillo is comparable to the other models at 2100 and separates upward at the</w:t>
      </w:r>
      <w:r>
        <w:t xml:space="preserve"> </w:t>
      </w:r>
      <w:r>
        <w:t xml:space="preserve">long horizons — expected of a model whose Antarctic response is threshold-driven rather than linear.</w:t>
      </w:r>
      <w:r>
        <w:t xml:space="preserve"> </w:t>
      </w:r>
      <w:r>
        <w:t xml:space="preserve">⚠ Its 2300 spread is dominated by</w:t>
      </w:r>
      <w:r>
        <w:t xml:space="preserve"> </w:t>
      </w:r>
      <w:r>
        <w:rPr>
          <w:rStyle w:val="VerbatimChar"/>
        </w:rPr>
        <w:t xml:space="preserve">antarctic_lambda</w:t>
      </w:r>
      <w:r>
        <w:t xml:space="preserve">, a</w:t>
      </w:r>
      <w:r>
        <w:t xml:space="preserve"> </w:t>
      </w:r>
      <w:r>
        <w:rPr>
          <w:b/>
          <w:bCs/>
        </w:rPr>
        <w:t xml:space="preserve">prior</w:t>
      </w:r>
      <w:r>
        <w:t xml:space="preserve"> </w:t>
      </w:r>
      <w:r>
        <w:t xml:space="preserve">rather than an inference, so the</w:t>
      </w:r>
      <w:r>
        <w:t xml:space="preserve"> </w:t>
      </w:r>
      <w:r>
        <w:t xml:space="preserve">width at the high end is a stated uncertainty.</w:t>
      </w:r>
    </w:p>
    <w:p>
      <w:pPr>
        <w:pStyle w:val="BodyText"/>
      </w:pPr>
      <w:r>
        <w:rPr>
          <w:b/>
          <w:bCs/>
        </w:rPr>
        <w:t xml:space="preserve">Low scenarios.</w:t>
      </w:r>
      <w:r>
        <w:t xml:space="preserve"> </w:t>
      </w:r>
      <w:r>
        <w:t xml:space="preserve">Ladrillo sits at the low end of the comparison set on</w:t>
      </w:r>
      <w:r>
        <w:t xml:space="preserve"> </w:t>
      </w:r>
      <w:r>
        <w:rPr>
          <w:i/>
          <w:iCs/>
        </w:rPr>
        <w:t xml:space="preserve">level</w:t>
      </w:r>
      <w:r>
        <w:t xml:space="preserve">, but its Antarctic</w:t>
      </w:r>
      <w:r>
        <w:t xml:space="preserve"> </w:t>
      </w:r>
      <w:r>
        <w:t xml:space="preserve">band is</w:t>
      </w:r>
      <w:r>
        <w:t xml:space="preserve"> </w:t>
      </w:r>
      <w:r>
        <w:rPr>
          <w:b/>
          <w:bCs/>
        </w:rPr>
        <w:t xml:space="preserve">wider</w:t>
      </w:r>
      <w:r>
        <w:t xml:space="preserve"> </w:t>
      </w:r>
      <w:r>
        <w:t xml:space="preserve">than the literature's: 2.55× at ssp126/2100 (54.6 cm against 20.7–40.5), which</w:t>
      </w:r>
      <w:r>
        <w:t xml:space="preserve"> </w:t>
      </w:r>
      <w:r>
        <w:t xml:space="preserve">carries the total to 1.48×. Greenland, glaciers and thermal expansion are all narrower there</w:t>
      </w:r>
      <w:r>
        <w:t xml:space="preserve"> </w:t>
      </w:r>
      <w:r>
        <w:t xml:space="preserve">(0.47×, 0.77×, 0.93×). ⚠ This is the one place the benchmark flags a genuine discrepancy, and it is a</w:t>
      </w:r>
      <w:r>
        <w:t xml:space="preserve"> </w:t>
      </w:r>
      <w:r>
        <w:t xml:space="preserve">projection-versus-other-models disagreement rather than an observational conflict. It is wider on L24</w:t>
      </w:r>
      <w:r>
        <w:t xml:space="preserve"> </w:t>
      </w:r>
      <w:r>
        <w:t xml:space="preserve">than on L21 because the amplification prior is wider — the honest, measured prior, not a tuned one.</w:t>
      </w:r>
    </w:p>
    <w:p>
      <w:pPr>
        <w:pStyle w:val="BodyText"/>
      </w:pPr>
      <w:r>
        <w:rPr>
          <w:b/>
          <w:bCs/>
        </w:rPr>
        <w:t xml:space="preserve">Peak-and-decline scenarios.</w:t>
      </w:r>
      <w:r>
        <w:t xml:space="preserve"> </w:t>
      </w:r>
      <w:r>
        <w:t xml:space="preserve">The glacier change is important here because it allows regrowth,</w:t>
      </w:r>
      <w:r>
        <w:t xml:space="preserve"> </w:t>
      </w:r>
      <w:r>
        <w:t xml:space="preserve">though that regrowth is modest. Swapping back to the melt-only ratchet on a held posterior moves the</w:t>
      </w:r>
      <w:r>
        <w:t xml:space="preserve"> </w:t>
      </w:r>
      <w:r>
        <w:t xml:space="preserve">total by only ≤6.2×10⁻⁵ cm on the SSPs and −0.20 cm at the low-overshoot marker, so what the law buys</w:t>
      </w:r>
      <w:r>
        <w:t xml:space="preserve"> </w:t>
      </w:r>
      <w:r>
        <w:t xml:space="preserve">is structural rather than numerical: glaciers halt when temperature halts — the glacier rate at 2300</w:t>
      </w:r>
      <w:r>
        <w:t xml:space="preserve"> </w:t>
      </w:r>
      <w:r>
        <w:t xml:space="preserve">falls to 0.00–0.55 mm/yr on declining pathways against 1.96 on a rising one — and can reverse, which</w:t>
      </w:r>
      <w:r>
        <w:t xml:space="preserve"> </w:t>
      </w:r>
      <w:r>
        <w:t xml:space="preserve">BRICK 2.0's melt-only formulation cannot do at all.</w:t>
      </w:r>
    </w:p>
    <w:p>
      <w:pPr>
        <w:pStyle w:val="BodyText"/>
      </w:pPr>
      <w:r>
        <w:rPr>
          <w:b/>
          <w:bCs/>
        </w:rPr>
        <w:t xml:space="preserve">MAGICC regrows substantially more than Ladrillo, and about ¾ of that is model structure and ¼ the</w:t>
      </w:r>
      <w:r>
        <w:rPr>
          <w:b/>
          <w:bCs/>
        </w:rPr>
        <w:t xml:space="preserve"> </w:t>
      </w:r>
      <w:r>
        <w:rPr>
          <w:b/>
          <w:bCs/>
        </w:rPr>
        <w:t xml:space="preserve">climate module.</w:t>
      </w:r>
      <w:r>
        <w:t xml:space="preserve"> </w:t>
      </w:r>
      <w:r>
        <w:t xml:space="preserve">Re-running Ladrillo on MAGICC's own climate closes 13–35% of the regrowth gap</w:t>
      </w:r>
      <w:r>
        <w:t xml:space="preserve"> </w:t>
      </w:r>
      <w:r>
        <w:t xml:space="preserve">(mean 24%) across the five van Vuuren markers where MAGICC regrows, leaving the rest to structure.</w:t>
      </w:r>
      <w:r>
        <w:t xml:space="preserve"> </w:t>
      </w:r>
      <w:r>
        <w:t xml:space="preserve">The structural half is a</w:t>
      </w:r>
      <w:r>
        <w:t xml:space="preserve"> </w:t>
      </w:r>
      <w:r>
        <w:rPr>
          <w:i/>
          <w:iCs/>
        </w:rPr>
        <w:t xml:space="preserve">rate</w:t>
      </w:r>
      <w:r>
        <w:t xml:space="preserve"> </w:t>
      </w:r>
      <w:r>
        <w:t xml:space="preserve">limit, not an equilibrium one. At vvLN, where MAGICC's climate falls</w:t>
      </w:r>
      <w:r>
        <w:t xml:space="preserve"> </w:t>
      </w:r>
      <w:r>
        <w:t xml:space="preserve">to −0.71 K by 2300, Ladrillo's own glacier equilibrium drops from 19.1 cm to 2.2 cm — 16.9 cm of</w:t>
      </w:r>
      <w:r>
        <w:t xml:space="preserve"> </w:t>
      </w:r>
      <w:r>
        <w:t xml:space="preserve">headroom — yet it regrows only 2.1 cm of it. The reason is that Ladrillo's regional blocks relax at</w:t>
      </w:r>
      <w:r>
        <w:t xml:space="preserve"> </w:t>
      </w:r>
      <w:r>
        <w:t xml:space="preserve">very different speeds on the cooling limb: FAST has a ~95-year timescale, but SLOWP (~275 yr) and R19</w:t>
      </w:r>
      <w:r>
        <w:t xml:space="preserve"> </w:t>
      </w:r>
      <w:r>
        <w:t xml:space="preserve">(~465 yr) together hold 60% of the headroom and cannot traverse it inside the horizon while chasing a</w:t>
      </w:r>
      <w:r>
        <w:t xml:space="preserve"> </w:t>
      </w:r>
      <w:r>
        <w:t xml:space="preserve">still-falling equilibrium. MAGICC has no regional split — one global reservoir, relaxing fast enough</w:t>
      </w:r>
      <w:r>
        <w:t xml:space="preserve"> </w:t>
      </w:r>
      <w:r>
        <w:t xml:space="preserve">to reach its floor. ⭐</w:t>
      </w:r>
      <w:r>
        <w:t xml:space="preserve"> </w:t>
      </w:r>
      <w:r>
        <w:rPr>
          <w:b/>
          <w:bCs/>
        </w:rPr>
        <w:t xml:space="preserve">The regionalisation that makes Ladrillo fit the historical record better is</w:t>
      </w:r>
      <w:r>
        <w:rPr>
          <w:b/>
          <w:bCs/>
        </w:rPr>
        <w:t xml:space="preserve"> </w:t>
      </w:r>
      <w:r>
        <w:rPr>
          <w:b/>
          <w:bCs/>
        </w:rPr>
        <w:t xml:space="preserve">the same feature that makes it slower to regrow.</w:t>
      </w:r>
    </w:p>
    <w:p>
      <w:pPr>
        <w:pStyle w:val="BodyText"/>
      </w:pPr>
      <w:r>
        <w:t xml:space="preserve">⚠ On a matched-temperature overshoot pair the regrowth is modest for everyone: at 2300 Ladrillo</w:t>
      </w:r>
      <w:r>
        <w:t xml:space="preserve"> </w:t>
      </w:r>
      <w:r>
        <w:t xml:space="preserve">gives 2.21 cm against BRICK 2.0's 2.58, inside the 1.65–5.39 cm spread of four FACTS process-based</w:t>
      </w:r>
      <w:r>
        <w:t xml:space="preserve"> </w:t>
      </w:r>
      <w:r>
        <w:t xml:space="preserve">workflows, with the long upper tails coming from the MICI-capable arm rather than from disagreement</w:t>
      </w:r>
      <w:r>
        <w:t xml:space="preserve"> </w:t>
      </w:r>
      <w:r>
        <w:t xml:space="preserve">about the central estimate.</w:t>
      </w:r>
    </w:p>
    <w:p>
      <w:pPr>
        <w:pStyle w:val="BlockText"/>
      </w:pPr>
      <w:r>
        <w:rPr>
          <w:b/>
          <w:bCs/>
        </w:rPr>
        <w:t xml:space="preserve">Regeneration note (2026-09-02).</w:t>
      </w:r>
      <w:r>
        <w:t xml:space="preserve"> </w:t>
      </w:r>
      <w:r>
        <w:t xml:space="preserve">Every number and figure here is</w:t>
      </w:r>
      <w:r>
        <w:t xml:space="preserve"> </w:t>
      </w:r>
      <w:r>
        <w:rPr>
          <w:b/>
          <w:bCs/>
        </w:rPr>
        <w:t xml:space="preserve">L24</w:t>
      </w:r>
      <w:r>
        <w:t xml:space="preserve"> </w:t>
      </w:r>
      <w:r>
        <w:t xml:space="preserve">unless an earlier</w:t>
      </w:r>
      <w:r>
        <w:t xml:space="preserve"> </w:t>
      </w:r>
      <w:r>
        <w:t xml:space="preserve">vintage is explicitly named. The van Vuuren markers and the MAGICC-climate arm were built for L24</w:t>
      </w:r>
      <w:r>
        <w:t xml:space="preserve"> </w:t>
      </w:r>
      <w:r>
        <w:t xml:space="preserve">specifically (16 arms, all</w:t>
      </w:r>
      <w:r>
        <w:t xml:space="preserve"> </w:t>
      </w:r>
      <w:r>
        <w:rPr>
          <w:b/>
          <w:bCs/>
        </w:rPr>
        <w:t xml:space="preserve">tapped</w:t>
      </w:r>
      <w:r>
        <w:t xml:space="preserve">; L21 and L23 have no untapped van Vuuren or MAGICC arms).</w:t>
      </w:r>
      <w:r>
        <w:t xml:space="preserve"> </w:t>
      </w:r>
      <w:r>
        <w:t xml:space="preserve">⚠</w:t>
      </w:r>
      <w:r>
        <w:t xml:space="preserve"> </w:t>
      </w:r>
      <w:r>
        <w:rPr>
          <w:b/>
          <w:bCs/>
        </w:rPr>
        <w:t xml:space="preserve">L24 vs L21 remains a prior change, not a model improvement.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14" Target="media/rId14.png" /><Relationship Type="http://schemas.openxmlformats.org/officeDocument/2006/relationships/image" Id="rId39" Target="media/rId39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2026-09-03T13:00:08Z</dcterms:created>
  <dcterms:modified xsi:type="dcterms:W3CDTF">2026-09-03T13:00:08Z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