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ladrillo-l24"/>
    <w:p>
      <w:pPr>
        <w:pStyle w:val="Heading1"/>
      </w:pPr>
      <w:r>
        <w:t xml:space="preserve">Ladrillo (L24)</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compares well relative to the other models and sits in a unique space.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w:t>
      </w:r>
    </w:p>
    <w:p>
      <w:pPr>
        <w:pStyle w:val="BlockText"/>
      </w:pPr>
      <w:r>
        <w:rPr>
          <w:b/>
          <w:bCs/>
        </w:rPr>
        <w:t xml:space="preserve">Vintage.</w:t>
      </w:r>
      <w:r>
        <w:t xml:space="preserve"> </w:t>
      </w:r>
      <w:r>
        <w:t xml:space="preserve">This document describes posterior</w:t>
      </w:r>
      <w:r>
        <w:t xml:space="preserve"> </w:t>
      </w:r>
      <w:r>
        <w:rPr>
          <w:b/>
          <w:bCs/>
        </w:rPr>
        <w:t xml:space="preserve">L24</w:t>
      </w:r>
      <w:r>
        <w:t xml:space="preserve">. Basis for every number below:</w:t>
      </w:r>
      <w:r>
        <w:t xml:space="preserve"> </w:t>
      </w:r>
      <w:r>
        <w:rPr>
          <w:b/>
          <w:bCs/>
        </w:rPr>
        <w:t xml:space="preserve">cm, re-referenced to 1995–2014</w:t>
      </w:r>
      <w:r>
        <w:t xml:space="preserv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w:t>
      </w:r>
      <w:r>
        <w:t xml:space="preserve"> </w:t>
      </w:r>
      <w:r>
        <w:rPr>
          <w:b/>
          <w:bCs/>
        </w:rPr>
        <w:t xml:space="preserve">Mengel-style equilibrium volume</w:t>
      </w:r>
      <w:r>
        <w:t xml:space="preserve"> </w:t>
      </w:r>
      <w:r>
        <w:rPr>
          <w:rStyle w:val="VerbatimChar"/>
        </w:rPr>
        <w:t xml:space="preserve">S_eq</w:t>
      </w:r>
      <w:r>
        <w:t xml:space="preserve"> </w:t>
      </w:r>
      <w:r>
        <w:rPr>
          <w:b/>
          <w:bCs/>
        </w:rPr>
        <w:t xml:space="preserve">driven by a Nauels-ν transient</w:t>
      </w:r>
      <w:r>
        <w:t xml:space="preserve">,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 (The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w:t>
      </w:r>
    </w:p>
    <w:p>
      <w:pPr>
        <w:pStyle w:val="BodyText"/>
      </w:pPr>
      <w:r>
        <w:rPr>
          <w:b/>
          <w:bCs/>
        </w:rPr>
        <w:t xml:space="preserve">Regrowth potential.</w:t>
      </w:r>
      <w:r>
        <w:t xml:space="preserve"> </w:t>
      </w:r>
      <w:r>
        <w:t xml:space="preserve">Neither BRICK nor FACTS can regrow glacial ice, but MAGICC and Ladrillo can. The law is</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w:t>
      </w:r>
      <w:r>
        <w:t xml:space="preserve"> </w:t>
      </w:r>
      <w:r>
        <w:rPr>
          <w:b/>
          <w:bCs/>
        </w:rPr>
        <w:t xml:space="preserve">one body with one response channel</w:t>
      </w:r>
      <w:r>
        <w:t xml:space="preserve">. Ladrillo replaces that with a</w:t>
      </w:r>
      <w:r>
        <w:t xml:space="preserve"> </w:t>
      </w:r>
      <w:r>
        <w:rPr>
          <w:b/>
          <w:bCs/>
        </w:rPr>
        <w:t xml:space="preserve">two-channel, two-basin sheet</w:t>
      </w:r>
      <w:r>
        <w:t xml:space="preserve">.</w:t>
      </w:r>
    </w:p>
    <w:p>
      <w:pPr>
        <w:pStyle w:val="BodyText"/>
      </w:pPr>
      <w:r>
        <w:rPr>
          <w:b/>
          <w:bCs/>
        </w:rPr>
        <w:t xml:space="preserve">Two channels (fast / slow).</w:t>
      </w:r>
      <w:r>
        <w:t xml:space="preserve"> </w:t>
      </w:r>
      <w:r>
        <w:t xml:space="preserve">Greenland melt occurs through surface-mass-balance response (slow) and outlet/dynamic discharge (fast). Two channels allow for that partition.</w:t>
      </w:r>
    </w:p>
    <w:p>
      <w:pPr>
        <w:pStyle w:val="BodyText"/>
      </w:pPr>
      <w:r>
        <w:rPr>
          <w:b/>
          <w:bCs/>
        </w:rPr>
        <w:t xml:space="preserve">Two basins.</w:t>
      </w:r>
      <w:r>
        <w:t xml:space="preserve"> </w:t>
      </w:r>
      <w:r>
        <w:t xml:space="preserve">The sheet is split into an</w:t>
      </w:r>
      <w:r>
        <w:t xml:space="preserve"> </w:t>
      </w:r>
      <w:r>
        <w:rPr>
          <w:b/>
          <w:bCs/>
        </w:rPr>
        <w:t xml:space="preserve">active</w:t>
      </w:r>
      <w:r>
        <w:t xml:space="preserve"> </w:t>
      </w:r>
      <w:r>
        <w:t xml:space="preserve">basin (SW+CW+CE+SE+NW) and a</w:t>
      </w:r>
      <w:r>
        <w:t xml:space="preserve"> </w:t>
      </w:r>
      <w:r>
        <w:rPr>
          <w:b/>
          <w:bCs/>
        </w:rPr>
        <w:t xml:space="preserve">high</w:t>
      </w:r>
      <w:r>
        <w:t xml:space="preserve"> </w:t>
      </w:r>
      <w:r>
        <w:t xml:space="preserve">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exactly zero at SSP1-2.6 and SSP2-4.5 and 41.8 cm to the SSP5-8.5 total at 2300.</w:t>
      </w:r>
    </w:p>
    <w:p>
      <w:pPr>
        <w:pStyle w:val="BodyText"/>
      </w:pPr>
      <w:r>
        <w:rPr>
          <w:b/>
          <w:bCs/>
        </w:rPr>
        <w:t xml:space="preserve">Compared with BRICK 2.0 and MAGICC.</w:t>
      </w:r>
      <w:r>
        <w:t xml:space="preserve"> </w:t>
      </w:r>
      <w:r>
        <w:t xml:space="preserve">Greenland is the component where the hindcast gain over BRICK 2.0 is largest. MAGICC similarly splits Greenland into SMB and SID and parameterises against SICOPOLIS, but with 17 parameters between the two, of which 9 vary and each of those takes only 4 distinct values.</w:t>
      </w:r>
    </w:p>
    <w:bookmarkEnd w:id="10"/>
    <w:bookmarkEnd w:id="11"/>
    <w:bookmarkStart w:id="12" w:name="ladrillo-calibration-data-updates"/>
    <w:p>
      <w:pPr>
        <w:pStyle w:val="Heading2"/>
      </w:pPr>
      <w:r>
        <w:t xml:space="preserve">Ladrillo Calibration Data Updates</w:t>
      </w:r>
    </w:p>
    <w:p>
      <w:pPr>
        <w:pStyle w:val="FirstParagraph"/>
      </w:pPr>
      <w:r>
        <w:t xml:space="preserve">Additional or replaced observational inputs, relative to BRICK 2.0: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source</w:t>
            </w:r>
          </w:p>
        </w:tc>
        <w:tc>
          <w:tcPr/>
          <w:p>
            <w:pPr>
              <w:pStyle w:val="Compact"/>
            </w:pPr>
            <w:r>
              <w:t xml:space="preserve">what it constrains</w:t>
            </w:r>
          </w:p>
        </w:tc>
      </w:tr>
      <w:tr>
        <w:tc>
          <w:tcPr/>
          <w:p>
            <w:pPr>
              <w:pStyle w:val="Compact"/>
            </w:pPr>
            <w:r>
              <w:rPr>
                <w:b/>
                <w:bCs/>
              </w:rPr>
              <w:t xml:space="preserve">Dangendorf 2024</w:t>
            </w:r>
            <w:r>
              <w:t xml:space="preserve"> </w:t>
            </w:r>
            <w:r>
              <w:t xml:space="preserve">GMSL</w:t>
            </w:r>
          </w:p>
        </w:tc>
        <w:tc>
          <w:tcPr/>
          <w:p>
            <w:pPr>
              <w:pStyle w:val="Compact"/>
            </w:pPr>
            <w:r>
              <w:t xml:space="preserve">The total, replacing the previous GMSL reconstruction.</w:t>
            </w:r>
          </w:p>
        </w:tc>
      </w:tr>
      <w:tr>
        <w:tc>
          <w:tcPr/>
          <w:p>
            <w:pPr>
              <w:pStyle w:val="Compact"/>
            </w:pPr>
            <w:r>
              <w:rPr>
                <w:b/>
                <w:bCs/>
              </w:rPr>
              <w:t xml:space="preserve">GlaMBIE</w:t>
            </w:r>
            <w:r>
              <w:t xml:space="preserve"> </w:t>
            </w:r>
            <w:r>
              <w:t xml:space="preserve">glacier series (2019 onward)</w:t>
            </w:r>
          </w:p>
        </w:tc>
        <w:tc>
          <w:tcPr/>
          <w:p>
            <w:pPr>
              <w:pStyle w:val="Compact"/>
            </w:pPr>
            <w:r>
              <w:t xml:space="preserve">The modern glacier rate, spliced onto Frederikse. It</w:t>
            </w:r>
            <w:r>
              <w:t xml:space="preserve"> </w:t>
            </w:r>
            <w:r>
              <w:rPr>
                <w:b/>
                <w:bCs/>
              </w:rPr>
              <w:t xml:space="preserve">includes</w:t>
            </w:r>
            <w:r>
              <w:t xml:space="preserve"> </w:t>
            </w:r>
            <w:r>
              <w:t xml:space="preserve">Antarctic-periphery melt where Frederikse excludes it, which is why R19 is a separate block.</w:t>
            </w:r>
          </w:p>
        </w:tc>
      </w:tr>
      <w:tr>
        <w:tc>
          <w:tcPr/>
          <w:p>
            <w:pPr>
              <w:pStyle w:val="Compact"/>
            </w:pPr>
            <w:r>
              <w:rPr>
                <w:b/>
                <w:bCs/>
              </w:rPr>
              <w:t xml:space="preserve">JPL GRACE / GRACE-FO mascons</w:t>
            </w:r>
          </w:p>
        </w:tc>
        <w:tc>
          <w:tcPr/>
          <w:p>
            <w:pPr>
              <w:pStyle w:val="Compact"/>
            </w:pPr>
            <w:r>
              <w:t xml:space="preserve">Land-water storage 2019–2026, which had been held flat; the closure σ is trend-extended over the same period.</w:t>
            </w:r>
          </w:p>
        </w:tc>
      </w:tr>
      <w:tr>
        <w:tc>
          <w:tcPr/>
          <w:p>
            <w:pPr>
              <w:pStyle w:val="Compact"/>
            </w:pPr>
            <w:r>
              <w:rPr>
                <w:b/>
                <w:bCs/>
              </w:rPr>
              <w:t xml:space="preserve">Mouginot</w:t>
            </w:r>
            <w:r>
              <w:t xml:space="preserve"> </w:t>
            </w:r>
            <w:r>
              <w:t xml:space="preserve">Greenland sector shares</w:t>
            </w:r>
          </w:p>
        </w:tc>
        <w:tc>
          <w:tcPr/>
          <w:p>
            <w:pPr>
              <w:pStyle w:val="Compact"/>
            </w:pPr>
            <w:r>
              <w:t xml:space="preserve">The basin split, as a shares term rather than a level.</w:t>
            </w:r>
          </w:p>
        </w:tc>
      </w:tr>
      <w:tr>
        <w:tc>
          <w:tcPr/>
          <w:p>
            <w:pPr>
              <w:pStyle w:val="Compact"/>
            </w:pPr>
            <w:r>
              <w:rPr>
                <w:b/>
                <w:bCs/>
              </w:rPr>
              <w:t xml:space="preserve">Rignot 2019</w:t>
            </w:r>
            <w:r>
              <w:t xml:space="preserve"> </w:t>
            </w:r>
            <w:r>
              <w:t xml:space="preserve">Antarctic SMB, area-corrected ×0.888</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rPr>
                <w:b/>
                <w:bCs/>
              </w:rPr>
              <w:t xml:space="preserve">Glacier inventory</w:t>
            </w:r>
            <w:r>
              <w:t xml:space="preserve"> </w:t>
            </w:r>
            <w:r>
              <w:t xml:space="preserve">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The absolute inventory and the pre-observational flow, neither of which the 20th-century transient identifies on its own.</w:t>
            </w:r>
          </w:p>
        </w:tc>
      </w:tr>
      <w:tr>
        <w:tc>
          <w:tcPr/>
          <w:p>
            <w:pPr>
              <w:pStyle w:val="Compact"/>
            </w:pPr>
            <w:r>
              <w:rPr>
                <w:b/>
                <w:bCs/>
              </w:rPr>
              <w:t xml:space="preserve">CMIP6 regional amplification</w:t>
            </w:r>
            <w:r>
              <w:t xml:space="preserve"> </w:t>
            </w:r>
            <w:r>
              <w:t xml:space="preserve">(34–41 models)</w:t>
            </w:r>
          </w:p>
        </w:tc>
        <w:tc>
          <w:tcPr/>
          <w:p>
            <w:pPr>
              <w:pStyle w:val="Compact"/>
            </w:pPr>
            <w:r>
              <w:t xml:space="preserve">Priors on the per-block glacier amplification and on Antarctic amplification.</w:t>
            </w:r>
          </w:p>
        </w:tc>
      </w:tr>
      <w:tr>
        <w:tc>
          <w:tcPr/>
          <w:p>
            <w:pPr>
              <w:pStyle w:val="Compact"/>
            </w:pPr>
            <w:r>
              <w:rPr>
                <w:b/>
                <w:bCs/>
              </w:rPr>
              <w:t xml:space="preserve">Paleo constraints</w:t>
            </w:r>
            <w:r>
              <w:t xml:space="preserve"> </w:t>
            </w:r>
            <w:r>
              <w:t xml:space="preserve">on DAIS geometry, in a standardised correlation form</w:t>
            </w:r>
          </w:p>
        </w:tc>
        <w:tc>
          <w:tcPr/>
          <w:p>
            <w:pPr>
              <w:pStyle w:val="Compact"/>
            </w:pPr>
            <w:r>
              <w:t xml:space="preserve">The seven freed geometry parameters (below).</w:t>
            </w:r>
          </w:p>
        </w:tc>
      </w:tr>
    </w:tbl>
    <w:p>
      <w:pPr>
        <w:pStyle w:val="BodyText"/>
      </w:pPr>
      <w:r>
        <w:rPr>
          <w:b/>
          <w:bCs/>
        </w:rPr>
        <w:t xml:space="preserve">Deliberately removed: IMBIE</w:t>
      </w:r>
      <w:r>
        <w:t xml:space="preserve">, dropped from the Antarctic likelihood to avoid double-weighting the same mass-balance information already entering through other terms.</w:t>
      </w:r>
    </w:p>
    <w:p>
      <w:pPr>
        <w:pStyle w:val="BodyText"/>
      </w:pPr>
      <w:r>
        <w:rPr>
          <w:b/>
          <w:bCs/>
        </w:rPr>
        <w:t xml:space="preserve">Forcing.</w:t>
      </w:r>
      <w:r>
        <w:t xml:space="preserve"> </w:t>
      </w:r>
      <w:r>
        <w:rPr>
          <w:b/>
          <w:bCs/>
        </w:rPr>
        <w:t xml:space="preserve">FaIR 2.2.4 (fair-calibrate 1.6.0, CMIP7 history to 2023)</w:t>
      </w:r>
      <w:r>
        <w:t xml:space="preserve">.</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rPr>
          <w:b/>
          <w:bCs/>
        </w:rPr>
        <w:t xml:space="preserve">58 parameters are sampled</w:t>
      </w:r>
      <w:r>
        <w:t xml:space="preserve">: 17 Antarctic, 9 Greenland, 19 glacier, 13 remaining (thermal expansion, two discrepancy bases, and four AR(1) noise pairs). Three Antarctic changes carry the improvement.</w:t>
      </w:r>
    </w:p>
    <w:p>
      <w:pPr>
        <w:pStyle w:val="BodyText"/>
      </w:pPr>
      <w:r>
        <w:rPr>
          <w:b/>
          <w:bCs/>
        </w:rPr>
        <w:t xml:space="preserve">The seven DAIS geometry parameters</w:t>
      </w:r>
      <w:r>
        <w:t xml:space="preserve"> </w:t>
      </w:r>
      <w:r>
        <w:t xml:space="preserve">(</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This change fixed the pre-1990 Antarctic melt: with the geometry fixed at the prior medoid, BRICK 2.0 draws far more early-20th-century Antarctic mass loss than the record supports, while Ladrillo tracks the observations to within a hundredth of a centimetre.</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constrained by observation — the posterior is very close to the prior — and a one-sigma change moves Antarctic sea level at 2300 by about 69 cm on SSP5-8.5, roughly 13% of that scenario's total.</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1900–2026, against the calibration targets.</w:t>
      </w:r>
    </w:p>
    <w:p>
      <w:pPr>
        <w:pStyle w:val="BodyText"/>
      </w:pPr>
      <w:r>
        <w:t xml:space="preserve">RMSE ratio against BRICK 2.0 —</w:t>
      </w:r>
      <w:r>
        <w:t xml:space="preserve"> </w:t>
      </w:r>
      <w:r>
        <w:rPr>
          <w:b/>
          <w:bCs/>
        </w:rPr>
        <w:t xml:space="preserve">below 1 means Ladrillo is closer to the observations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0.005</w:t>
            </w:r>
          </w:p>
        </w:tc>
        <w:tc>
          <w:tcPr/>
          <w:p>
            <w:pPr>
              <w:pStyle w:val="Compact"/>
            </w:pPr>
            <w:r>
              <w:rPr>
                <w:b/>
                <w:bCs/>
              </w:rPr>
              <w:t xml:space="preserve">0.010</w:t>
            </w:r>
          </w:p>
        </w:tc>
        <w:tc>
          <w:tcPr/>
          <w:p>
            <w:pPr>
              <w:pStyle w:val="Compact"/>
            </w:pPr>
            <w:r>
              <w:t xml:space="preserve">0.555</w:t>
            </w:r>
          </w:p>
        </w:tc>
        <w:tc>
          <w:tcPr/>
          <w:p>
            <w:pPr>
              <w:pStyle w:val="Compact"/>
            </w:pPr>
            <w:r>
              <w:rPr>
                <w:b/>
                <w:bCs/>
              </w:rPr>
              <w:t xml:space="preserve">0.027</w:t>
            </w:r>
          </w:p>
        </w:tc>
      </w:tr>
      <w:tr>
        <w:tc>
          <w:tcPr/>
          <w:p>
            <w:pPr>
              <w:pStyle w:val="Compact"/>
            </w:pPr>
            <w:r>
              <w:t xml:space="preserve">Greenland</w:t>
            </w:r>
          </w:p>
        </w:tc>
        <w:tc>
          <w:tcPr/>
          <w:p>
            <w:pPr>
              <w:pStyle w:val="Compact"/>
            </w:pPr>
            <w:r>
              <w:rPr>
                <w:b/>
                <w:bCs/>
              </w:rPr>
              <w:t xml:space="preserve">0.103</w:t>
            </w:r>
          </w:p>
        </w:tc>
        <w:tc>
          <w:tcPr/>
          <w:p>
            <w:pPr>
              <w:pStyle w:val="Compact"/>
            </w:pPr>
            <w:r>
              <w:rPr>
                <w:b/>
                <w:bCs/>
              </w:rPr>
              <w:t xml:space="preserve">0.054</w:t>
            </w:r>
          </w:p>
        </w:tc>
        <w:tc>
          <w:tcPr/>
          <w:p>
            <w:pPr>
              <w:pStyle w:val="Compact"/>
            </w:pPr>
            <w:r>
              <w:t xml:space="preserve">0.272</w:t>
            </w:r>
          </w:p>
        </w:tc>
        <w:tc>
          <w:tcPr/>
          <w:p>
            <w:pPr>
              <w:pStyle w:val="Compact"/>
            </w:pPr>
            <w:r>
              <w:rPr>
                <w:b/>
                <w:bCs/>
              </w:rPr>
              <w:t xml:space="preserve">0.082</w:t>
            </w:r>
          </w:p>
        </w:tc>
      </w:tr>
      <w:tr>
        <w:tc>
          <w:tcPr/>
          <w:p>
            <w:pPr>
              <w:pStyle w:val="Compact"/>
            </w:pPr>
            <w:r>
              <w:t xml:space="preserve">Glaciers</w:t>
            </w:r>
          </w:p>
        </w:tc>
        <w:tc>
          <w:tcPr/>
          <w:p>
            <w:pPr>
              <w:pStyle w:val="Compact"/>
            </w:pPr>
            <w:r>
              <w:rPr>
                <w:b/>
                <w:bCs/>
              </w:rPr>
              <w:t xml:space="preserve">0.361</w:t>
            </w:r>
          </w:p>
        </w:tc>
        <w:tc>
          <w:tcPr/>
          <w:p>
            <w:pPr>
              <w:pStyle w:val="Compact"/>
            </w:pPr>
            <w:r>
              <w:t xml:space="preserve">1.027</w:t>
            </w:r>
          </w:p>
        </w:tc>
        <w:tc>
          <w:tcPr/>
          <w:p>
            <w:pPr>
              <w:pStyle w:val="Compact"/>
            </w:pPr>
            <w:r>
              <w:rPr>
                <w:b/>
                <w:bCs/>
              </w:rPr>
              <w:t xml:space="preserve">0.355</w:t>
            </w:r>
          </w:p>
        </w:tc>
        <w:tc>
          <w:tcPr/>
          <w:p>
            <w:pPr>
              <w:pStyle w:val="Compact"/>
            </w:pPr>
            <w:r>
              <w:rPr>
                <w:b/>
                <w:bCs/>
              </w:rPr>
              <w:t xml:space="preserve">0.372</w:t>
            </w:r>
          </w:p>
        </w:tc>
      </w:tr>
      <w:tr>
        <w:tc>
          <w:tcPr/>
          <w:p>
            <w:pPr>
              <w:pStyle w:val="Compact"/>
            </w:pPr>
            <w:r>
              <w:t xml:space="preserve">Thermal expansion</w:t>
            </w:r>
          </w:p>
        </w:tc>
        <w:tc>
          <w:tcPr/>
          <w:p>
            <w:pPr>
              <w:pStyle w:val="Compact"/>
            </w:pPr>
            <w:r>
              <w:t xml:space="preserve">1.150</w:t>
            </w:r>
          </w:p>
        </w:tc>
        <w:tc>
          <w:tcPr/>
          <w:p>
            <w:pPr>
              <w:pStyle w:val="Compact"/>
            </w:pPr>
            <w:r>
              <w:t xml:space="preserve">1.137</w:t>
            </w:r>
          </w:p>
        </w:tc>
        <w:tc>
          <w:tcPr/>
          <w:p>
            <w:pPr>
              <w:pStyle w:val="Compact"/>
            </w:pPr>
            <w:r>
              <w:t xml:space="preserve">1.462</w:t>
            </w:r>
          </w:p>
        </w:tc>
        <w:tc>
          <w:tcPr/>
          <w:p>
            <w:pPr>
              <w:pStyle w:val="Compact"/>
            </w:pPr>
            <w:r>
              <w:t xml:space="preserve">1.236</w:t>
            </w:r>
          </w:p>
        </w:tc>
      </w:tr>
      <w:tr>
        <w:tc>
          <w:tcPr/>
          <w:p>
            <w:pPr>
              <w:pStyle w:val="Compact"/>
            </w:pPr>
            <w:r>
              <w:rPr>
                <w:b/>
                <w:bCs/>
              </w:rPr>
              <w:t xml:space="preserve">Total</w:t>
            </w:r>
          </w:p>
        </w:tc>
        <w:tc>
          <w:tcPr/>
          <w:p>
            <w:pPr>
              <w:pStyle w:val="Compact"/>
            </w:pPr>
            <w:r>
              <w:rPr>
                <w:b/>
                <w:bCs/>
              </w:rPr>
              <w:t xml:space="preserve">0.411</w:t>
            </w:r>
          </w:p>
        </w:tc>
        <w:tc>
          <w:tcPr/>
          <w:p>
            <w:pPr>
              <w:pStyle w:val="Compact"/>
            </w:pPr>
            <w:r>
              <w:rPr>
                <w:b/>
                <w:bCs/>
              </w:rPr>
              <w:t xml:space="preserve">0.277</w:t>
            </w:r>
          </w:p>
        </w:tc>
        <w:tc>
          <w:tcPr/>
          <w:p>
            <w:pPr>
              <w:pStyle w:val="Compact"/>
            </w:pPr>
            <w:r>
              <w:t xml:space="preserve">1.128</w:t>
            </w:r>
          </w:p>
        </w:tc>
        <w:tc>
          <w:tcPr/>
          <w:p>
            <w:pPr>
              <w:pStyle w:val="Compact"/>
            </w:pPr>
            <w:r>
              <w:rPr>
                <w:b/>
                <w:bCs/>
              </w:rPr>
              <w:t xml:space="preserve">0.373</w:t>
            </w:r>
          </w:p>
        </w:tc>
      </w:tr>
    </w:tbl>
    <w:p>
      <w:pPr>
        <w:pStyle w:val="BodyText"/>
      </w:pPr>
      <w:r>
        <w:rPr>
          <w:i/>
          <w:iCs/>
        </w:rPr>
        <w:t xml:space="preserve">Thermal expansion in both models is driven by FaIR's full-depth ocean heat against a 0–2000 m target, so this row measures Ladrillo's fit relative to BRICK 2.0, not absolute accuracy — see the depth-scope discussion below.</w:t>
      </w:r>
    </w:p>
    <w:p>
      <w:pPr>
        <w:pStyle w:val="BodyText"/>
      </w:pPr>
      <w:r>
        <w:t xml:space="preserve">Ladrillo is closer to the observations than BRICK 2.0 on every ice component particularly in early eras. Cumulative total sea level rise, 1920–2024: observed +19.45 cm, Ladrillo +18.83, BRICK 2.0 +22.09 — Ladrillo undershoots by 0.6 cm, BRICK overshoots by 2.6.</w:t>
      </w:r>
    </w:p>
    <w:p>
      <w:pPr>
        <w:pStyle w:val="BodyText"/>
      </w:pPr>
      <w:r>
        <w:rPr>
          <w:b/>
          <w:bCs/>
        </w:rPr>
        <w:t xml:space="preserve">For thermal expansion Ladrillo overshoots, and the cause is FaIR.</w:t>
      </w:r>
      <w:r>
        <w:t xml:space="preserve"> </w:t>
      </w:r>
      <w:r>
        <w:t xml:space="preserve">In both Ladrillo and BRICK thermal expansion is</w:t>
      </w:r>
      <w:r>
        <w:t xml:space="preserve"> </w:t>
      </w:r>
      <w:r>
        <w:rPr>
          <w:i/>
          <w:iCs/>
        </w:rPr>
        <w:t xml:space="preserve">exactly</w:t>
      </w:r>
      <w:r>
        <w:t xml:space="preserve"> </w:t>
      </w:r>
      <w:r>
        <w:t xml:space="preserve">proportional to the ocean heat they are given. When given the FaIR driver, both models overestimate recent thermal expansion (BRICK 2.0 misses the 1993-2026 thermal expansion rate by 1.17× compared to Ladrillo's 1.27×). However, when using observed OHC Ladrillo reproduces steric changes within 4% at every era. Roughly half the apparent miss is depth scope: FaIR's ocean heat is full-depth while the steric target is 0–2000 m, and correcting on IGCC's own &gt;2000 m layer narrows the 1993–2026 rate ratio from 1.27× to as little as 1.15× — an upper bound on the correction, not a point estimate, since deep water expands less per joule than the heat ratio implies, and the cell is still a FAIL even at that bound. A depth-resolved coefficient was tested and failed, though that may reflect observational uncertainty — Cheng and IGCC disagree by ~50% on 1950–1993 ocean heat gain.</w:t>
      </w:r>
    </w:p>
    <w:bookmarkEnd w:id="17"/>
    <w:bookmarkStart w:id="45" w:name="ladrillo-projection-comparison"/>
    <w:p>
      <w:pPr>
        <w:pStyle w:val="Heading2"/>
      </w:pPr>
      <w:r>
        <w:t xml:space="preserve">Ladrillo Projection Comparison</w:t>
      </w:r>
    </w:p>
    <w:p>
      <w:pPr>
        <w:pStyle w:val="FirstParagraph"/>
      </w:pPr>
      <w:r>
        <w:t xml:space="preserve">The van Vuuren markers are the</w:t>
      </w:r>
      <w:r>
        <w:t xml:space="preserve"> </w:t>
      </w:r>
      <w:r>
        <w:rPr>
          <w:b/>
          <w:bCs/>
        </w:rPr>
        <w:t xml:space="preserve">primary</w:t>
      </w:r>
      <w:r>
        <w:t xml:space="preserve"> </w:t>
      </w:r>
      <w:r>
        <w:t xml:space="preserve">comparison; the SSPs are a secondary set and the control, being the only scenarios with a prior result to check the pipeline against. All Ladrillo bands are the</w:t>
      </w:r>
      <w:r>
        <w:t xml:space="preserve"> </w:t>
      </w:r>
      <w:r>
        <w:rPr>
          <w:b/>
          <w:bCs/>
        </w:rPr>
        <w:t xml:space="preserve">joint</w:t>
      </w:r>
      <w:r>
        <w:t xml:space="preserve"> </w:t>
      </w:r>
      <w:r>
        <w:t xml:space="preserve">(posterior × FaIR-forcing) arm, width-comparable to MAGICC and FACTS; BRICK 2.0's joint band uses the same cubes, splice pivot and pair seed.</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w:t>
      </w:r>
      <w:r>
        <w:t xml:space="preserve"> </w:t>
      </w:r>
      <w:r>
        <w:rPr>
          <w:b/>
          <w:bCs/>
        </w:rPr>
        <w:t xml:space="preserve">2100</w:t>
      </w:r>
      <w:r>
        <w:t xml:space="preserve">, by component.</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w:t>
      </w:r>
      <w:r>
        <w:t xml:space="preserve"> </w:t>
      </w:r>
      <w:r>
        <w:rPr>
          <w:b/>
          <w:bCs/>
        </w:rPr>
        <w:t xml:space="preserve">2150</w:t>
      </w:r>
      <w:r>
        <w:t xml:space="preserve">.</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w:t>
      </w:r>
      <w:r>
        <w:t xml:space="preserve"> </w:t>
      </w:r>
      <w:r>
        <w:rPr>
          <w:b/>
          <w:bCs/>
        </w:rPr>
        <w:t xml:space="preserve">2300</w:t>
      </w:r>
      <w:r>
        <w:t xml:space="preserve">.</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009269"/>
            <wp:effectExtent b="0" l="0" r="0" t="0"/>
            <wp:docPr descr="Glacier response on the declining markers" title="" id="31" name="Picture"/>
            <a:graphic>
              <a:graphicData uri="http://schemas.openxmlformats.org/drawingml/2006/picture">
                <pic:pic>
                  <pic:nvPicPr>
                    <pic:cNvPr descr="figures/vv_gsic_wr_vs_ladrillo_2300.png" id="32" name="Picture"/>
                    <pic:cNvPicPr>
                      <a:picLocks noChangeArrowheads="1" noChangeAspect="1"/>
                    </pic:cNvPicPr>
                  </pic:nvPicPr>
                  <pic:blipFill>
                    <a:blip r:embed="rId30"/>
                    <a:stretch>
                      <a:fillRect/>
                    </a:stretch>
                  </pic:blipFill>
                  <pic:spPr bwMode="auto">
                    <a:xfrm>
                      <a:off x="0" y="0"/>
                      <a:ext cx="5334000" cy="5009269"/>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Glacier contribution over time, comparing Ladrillo to BRICK2.0. This is where glacier regrowth is visible in Ladrillo for overshoot scenarios, whereas the Wigley-Raper formulation continues melting.</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w:t>
      </w:r>
      <w:r>
        <w:t xml:space="preserve"> </w:t>
      </w:r>
      <w:r>
        <w:rPr>
          <w:b/>
          <w:bCs/>
        </w:rPr>
        <w:t xml:space="preserve">2100</w:t>
      </w:r>
      <w:r>
        <w:t xml:space="preserve">.</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w:t>
      </w:r>
      <w:r>
        <w:t xml:space="preserve"> </w:t>
      </w:r>
      <w:r>
        <w:rPr>
          <w:b/>
          <w:bCs/>
        </w:rPr>
        <w:t xml:space="preserve">2300</w:t>
      </w:r>
      <w:r>
        <w:t xml:space="preserve">, where only MAGICC-SLR and BRICK 2.0 extend.</w:t>
      </w:r>
    </w:p>
    <w:p>
      <w:pPr>
        <w:pStyle w:val="BodyText"/>
      </w:pPr>
      <w:r>
        <w:drawing>
          <wp:inline>
            <wp:extent cx="5334000" cy="2133600"/>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w:t>
      </w:r>
      <w:r>
        <w:t xml:space="preserve"> </w:t>
      </w:r>
      <w:r>
        <w:rPr>
          <w:b/>
          <w:bCs/>
        </w:rPr>
        <w:t xml:space="preserve">72.6 cm</w:t>
      </w:r>
      <w:r>
        <w:t xml:space="preserve"> </w:t>
      </w:r>
      <w:r>
        <w:t xml:space="preserve">(SSP1-2.6),</w:t>
      </w:r>
      <w:r>
        <w:t xml:space="preserve"> </w:t>
      </w:r>
      <w:r>
        <w:rPr>
          <w:b/>
          <w:bCs/>
        </w:rPr>
        <w:t xml:space="preserve">249.2 cm</w:t>
      </w:r>
      <w:r>
        <w:t xml:space="preserve"> </w:t>
      </w:r>
      <w:r>
        <w:t xml:space="preserve">(SSP2-4.5),</w:t>
      </w:r>
      <w:r>
        <w:t xml:space="preserve"> </w:t>
      </w:r>
      <w:r>
        <w:rPr>
          <w:b/>
          <w:bCs/>
        </w:rPr>
        <w:t xml:space="preserve">516.7 cm</w:t>
      </w:r>
      <w:r>
        <w:t xml:space="preserve"> </w:t>
      </w:r>
      <w:r>
        <w:t xml:space="preserve">(SSP5-8.5).</w:t>
      </w:r>
    </w:p>
    <w:bookmarkEnd w:id="42"/>
    <w:bookmarkStart w:id="43"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was therefore re-run on MAGICC's climate to test which differences were due to sea level module versus climate module.</w:t>
      </w:r>
    </w:p>
    <w:bookmarkEnd w:id="43"/>
    <w:bookmarkStart w:id="44" w:name="X24c92579f6713723bf9ed7066aed63ccd1e3f3f"/>
    <w:p>
      <w:pPr>
        <w:pStyle w:val="Heading3"/>
      </w:pPr>
      <w:r>
        <w:t xml:space="preserve">Physical intuition — how Ladrillo behaves by scenario class</w:t>
      </w:r>
    </w:p>
    <w:p>
      <w:pPr>
        <w:pStyle w:val="FirstParagraph"/>
      </w:pPr>
      <w:r>
        <w:rPr>
          <w:b/>
          <w:bCs/>
        </w:rPr>
        <w:t xml:space="preserve">High scenarios.</w:t>
      </w:r>
      <w:r>
        <w:t xml:space="preserve"> </w:t>
      </w:r>
      <w:r>
        <w:t xml:space="preserve">Ladrillo is comparable to the other models at 2100. By 2300 it separates upward from BRICK 2.0 (due largely to Antarctic threshold behavior) but stays below MAGICC-SLR's steeper rise (439 cm vs. 570 cm, median). Its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 level. Its Antarctic band is wider than other models, while Greenland, glaciers and thermal expansion are all narrower there.</w:t>
      </w:r>
    </w:p>
    <w:p>
      <w:pPr>
        <w:pStyle w:val="BodyText"/>
      </w:pPr>
      <w:r>
        <w:rPr>
          <w:b/>
          <w:bCs/>
        </w:rPr>
        <w:t xml:space="preserve">Peak-and-decline scenarios.</w:t>
      </w:r>
      <w:r>
        <w:t xml:space="preserve"> </w:t>
      </w:r>
      <w:r>
        <w:t xml:space="preserve">The glacier change is evident here because it allows regrowth, though that regrowth is modest relative to total SLR changes (about 2.2 cm in 2300).</w:t>
      </w:r>
    </w:p>
    <w:p>
      <w:pPr>
        <w:pStyle w:val="BodyText"/>
      </w:pPr>
      <w:r>
        <w:rPr>
          <w:b/>
          <w:bCs/>
        </w:rPr>
        <w:t xml:space="preserve">MAGICC regrows substantially more than Ladrillo, and about ¾ of that is model structure and ¼ the climate module.</w:t>
      </w:r>
      <w:r>
        <w:t xml:space="preserve"> </w:t>
      </w:r>
      <w:r>
        <w:t xml:space="preserve">Ladrillo’s equilibrium regrowth is similar to MAGICC’s, but its rate of regrowth is slower because the SLOWP and R19 regions have long timescales.</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2026-09-03T15:04:49Z</dcterms:created>
  <dcterms:modified xsi:type="dcterms:W3CDTF">2026-09-03T15:04:49Z</dcterms:modified>
</cp:coreProperties>
</file>

<file path=docProps/custom.xml><?xml version="1.0" encoding="utf-8"?>
<Properties xmlns="http://schemas.openxmlformats.org/officeDocument/2006/custom-properties" xmlns:vt="http://schemas.openxmlformats.org/officeDocument/2006/docPropsVTypes"/>
</file>