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42.png" ContentType="image/png"/>
  <Override PartName="/word/media/rId36.png" ContentType="image/png"/>
  <Override PartName="/word/media/rId39.png" ContentType="image/png"/>
  <Override PartName="/word/media/rId18.png" ContentType="image/png"/>
  <Override PartName="/word/media/rId21.png" ContentType="image/png"/>
  <Override PartName="/word/media/rId24.png" ContentType="image/png"/>
  <Override PartName="/word/media/rId46.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is comparable in quality to other sea level emulators, and occupies its own niche.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two key parameters not constrained by observations.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w:t>
      </w:r>
    </w:p>
    <w:p>
      <w:pPr>
        <w:pStyle w:val="BodyText"/>
      </w:pPr>
      <w:r>
        <w:t xml:space="preserve">These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centres on 42 cm SLE (5–95% 32–52), inherited from the Wigley and Raper (2005) assumed maximum of 41 cm; Ladrillo constrains the remaining stock at 2000 to 29.0 ± 6.0 cm SLE on its target scope (Farinotti 2019 excluding RGI regions 5 and 19, plus 6.9 cm for region 19), with Millan 2022 agreeing to 1% on the matched scope. The full-RGI Farinotti value is 32.4 ± 8.4 cm. The comparators' inventories are larger and differ in scope: FACTS's AR5 glacier module caps cumulative melt at 31.6 cm SLE (AR5 Table 4.2's 41.2 cm less 9.63 cm; its regional fingerprints include the Greenland periphery and no Antarctic periphery), which every SSP5-8.5 sample reaches by 2300; MAGICC's tabulated equilibrium curves reach 35.6–45.1 cm SLE across their 15 tunes. Ladrillo's glaciers exclude RGI 05 (about 3.4 cm SLE, carried inside its Greenland ice-sheet mask), so its glacier contribution is structurally smaller than the comparators' by that region's melt.</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1.</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24"/>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2.</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Two features of FIGs 2–4 and 7 are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 And only part of FACTS responds to the climate after 2100: its thermal expansion, AR5 glacier and LARMIP Antarctic modules do, and the AR5 Antarctic surface mass balance does; but its Greenland module (FittedISMIP) extrapolates the 2080–2100 rate linearly to 2300, the AR5 Antarctic dynamics term is a prescribed function of time, and the DeConto and Bamber modules choose their projections from the temperature integrated over 2000–2099 (High and High-to-Low give identical Antarctic values at 2300). At 2150 and 2300, therefore, FACTS is a climate-responsive comparator for thermal expansion, glaciers and the LARMIP Antarctic module only.</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the FACTS workflows' 107–190. On spread it is narrower than BRICK 2.0 on every component, and narrower than every FACTS module on glaciers, Greenland and thermal expansion; at Antarctica the LARMIP and DeConto modules are narrower (5–95% widths of 103 and 113 cm against Ladrillo's 134). MAGICC-SLR is the narrow outlier throughout (2300 total 5–95% width 67 cm against Ladrillo's 163, BRICK 2.0's 182 and 144–561 across the FACTS workflows).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46" Target="media/rId46.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2026-09-12T17:57:37Z</dcterms:created>
  <dcterms:modified xsi:type="dcterms:W3CDTF">2026-09-12T17:57:37Z</dcterms:modified>
</cp:coreProperties>
</file>

<file path=docProps/custom.xml><?xml version="1.0" encoding="utf-8"?>
<Properties xmlns="http://schemas.openxmlformats.org/officeDocument/2006/custom-properties" xmlns:vt="http://schemas.openxmlformats.org/officeDocument/2006/docPropsVTypes"/>
</file>