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ladrillo-sea-level-rise-emulator"/>
    <w:p>
      <w:pPr>
        <w:pStyle w:val="Heading1"/>
      </w:pPr>
      <w:r>
        <w:t xml:space="preserve">Ladrillo Sea Level Rise Emulator</w:t>
      </w:r>
    </w:p>
    <w:p>
      <w:pPr>
        <w:pStyle w:val="FirstParagraph"/>
      </w:pPr>
      <w:r>
        <w:t xml:space="preserve">Ladrillo is a derivative of Tony Wong's BRICK 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as the only SLEIP model that both runs 1900–2300 and matches observed total 20th century sea level.</w:t>
      </w:r>
    </w:p>
    <w:p>
      <w:pPr>
        <w:pStyle w:val="BodyText"/>
      </w:pPr>
      <w:r>
        <w:t xml:space="preserve">MAGICC-SLR and FRISIA start their ice sheets in 1990 and 2002, ProFSea starts in 2007, and the FACTS workflow starts in 2005. Some other limitations of other emulators are that FACTS's ice-sheet modules either extrapolate or sample from 21st-century projections and that MAGICC-SLR can only be run on MAGICC's own climate.</w:t>
      </w:r>
    </w:p>
    <w:p>
      <w:pPr>
        <w:pStyle w:val="BodyText"/>
      </w:pPr>
      <w:r>
        <w:t xml:space="preserve">As a derivative of BRICK, Ladrillo and BRICK do share a similar niche. However, while Ladrillo generally keeps to BRICK’s design philosophy of physically based components calibrated on the historical record, it does depart from that philosophy in two places that observations cannot inform: a Greenland commitment above a threshold, informed by ISMIP6 and SICOPOLIS; and the use of GlacierMIP3 experiments to inform each glacier block’s committed loss and response time at future warming levels. Ladrillo also extended some of BRICK’s observational constraints (an Antarctic likelihood from 1900 rather than IMBIE's 1992–2017; GlaMBIE, GRACE and Mouginot added), updated the Antarctic global-to-local amplification from the paleo-equilibrium ratio to a CMIP6 based one, added global-to-local amplification for Greenland and the glacier regions, and is calibrated to a current version of FaIR 2.2.4 (fair-calibrate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1267"/>
        <w:gridCol w:w="712"/>
        <w:gridCol w:w="950"/>
        <w:gridCol w:w="871"/>
        <w:gridCol w:w="871"/>
        <w:gridCol w:w="792"/>
        <w:gridCol w:w="871"/>
        <w:gridCol w:w="712"/>
        <w:gridCol w:w="871"/>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the above-threshold discharge channel (ISMIP6/SICOPOLIS) and the glacier committed-loss curves and response-time anchors (GlacierMIP3).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871"/>
        <w:gridCol w:w="554"/>
        <w:gridCol w:w="871"/>
        <w:gridCol w:w="633"/>
        <w:gridCol w:w="950"/>
        <w:gridCol w:w="871"/>
        <w:gridCol w:w="950"/>
        <w:gridCol w:w="1188"/>
        <w:gridCol w:w="1029"/>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at 2000 (cm SLE)</w:t>
            </w:r>
          </w:p>
        </w:tc>
        <w:tc>
          <w:tcPr/>
          <w:p>
            <w:pPr>
              <w:pStyle w:val="Compact"/>
            </w:pPr>
            <w:r>
              <w:rPr>
                <w:sz w:val="16"/>
              </w:rPr>
              <w:t xml:space="preserve">37.7 (28–48)⁷</w:t>
            </w:r>
          </w:p>
        </w:tc>
        <w:tc>
          <w:tcPr/>
          <w:p>
            <w:pPr>
              <w:pStyle w:val="Compact"/>
            </w:pPr>
            <w:r>
              <w:rPr>
                <w:sz w:val="16"/>
              </w:rPr>
              <w:t xml:space="preserve">31.6⁸</w:t>
            </w:r>
          </w:p>
        </w:tc>
        <w:tc>
          <w:tcPr/>
          <w:p>
            <w:pPr>
              <w:pStyle w:val="Compact"/>
            </w:pPr>
            <w:r>
              <w:rPr>
                <w:sz w:val="16"/>
              </w:rPr>
              <w:t xml:space="preserve">n.d.</w:t>
            </w:r>
          </w:p>
        </w:tc>
        <w:tc>
          <w:tcPr/>
          <w:p>
            <w:pPr>
              <w:pStyle w:val="Compact"/>
            </w:pPr>
            <w:r>
              <w:rPr>
                <w:sz w:val="16"/>
              </w:rPr>
              <w:t xml:space="preserve">≈26–36⁹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n.d. (50 preindustrial)</w:t>
            </w:r>
          </w:p>
        </w:tc>
        <w:tc>
          <w:tcPr/>
          <w:p>
            <w:pPr>
              <w:pStyle w:val="Compact"/>
            </w:pPr>
            <w:r>
              <w:rPr>
                <w:sz w:val="16"/>
              </w:rPr>
              <w:t xml:space="preserve">29.0 ± 6.0¹⁰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bl>
    <w:p>
      <w:pPr>
        <w:pStyle w:val="BodyText"/>
      </w:pPr>
      <w:r>
        <w:t xml:space="preserve">⁷ Calibrated initial volume 42 cm (5–95% 32–52) at the 1850 start, less BRICK's own 4.0 cm of melt to 2000. ⁸ Cumulative-melt cap from AR5 Table 4.2, less the Antarctic periphery. ⁹ Equilibrium curves reach 35.6–45.1 cm at 1850 across the 15 tunes, less MAGICC's own 9.4 cm (5–95% 4.7–13.2) of melt to 2000. ¹⁰ Farinotti 2019 on Ladrillo's scope, which excludes RGI 05 (3.4 cm, included in the Greenland ice sheet). ¹¹ Two channels (SMB, discharge) in each of two basins. ¹² AR5 (parametric), LARMIP (response functions), DeConto (sampled), Bamber (expert judgement).</w:t>
      </w:r>
    </w:p>
    <w:p>
      <w:pPr>
        <w:pStyle w:val="BlockText"/>
      </w:pPr>
      <w:r>
        <w:rPr>
          <w:b/>
          <w:bCs/>
        </w:rPr>
        <w:t xml:space="preserve">Units and baselines.</w:t>
      </w:r>
      <w:r>
        <w:t xml:space="preserve"> </w:t>
      </w:r>
      <w:r>
        <w:t xml:space="preserve">Units are cm. Two baseline windows are used: 1995–2005 for the hindcast section (FIG 1, the RMSE table, and the 2024 levels); and 1995–2014 for the projection sections.</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warmer than its preindustrial equilibrium. Ladrillo replaces it with a Mengel-style equilibrium volume</w:t>
      </w:r>
      <w:r>
        <w:t xml:space="preserve"> </w:t>
      </w:r>
      <w:r>
        <w:rPr>
          <w:rStyle w:val="VerbatimChar"/>
        </w:rPr>
        <w:t xml:space="preserve">S_eq</w:t>
      </w:r>
      <w:r>
        <w:t xml:space="preserve"> </w:t>
      </w:r>
      <w:r>
        <w:t xml:space="preserve">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pPr>
        <w:pStyle w:val="BodyText"/>
      </w:pPr>
      <w:r>
        <w:rPr>
          <w:b/>
          <w:bCs/>
        </w:rPr>
        <w:t xml:space="preserve">SLOWG — RGI regions 03, 09, 07, 06</w:t>
      </w:r>
      <w:r>
        <w:t xml:space="preserve"> </w:t>
      </w:r>
      <w:r>
        <w:t xml:space="preserve">(Arctic Canada North, Russian Arctic, Svalbard, Iceland;</w:t>
      </w:r>
      <w:r>
        <w:t xml:space="preserve"> </w:t>
      </w:r>
      <w:r>
        <w:rPr>
          <w:rStyle w:val="VerbatimChar"/>
        </w:rPr>
        <w:t xml:space="preserve">SLOWP</w:t>
      </w:r>
      <w:r>
        <w:t xml:space="preserve"> </w:t>
      </w:r>
      <w:r>
        <w:t xml:space="preserve">in the code and output files). Ice volume at 2000: 12.7 ± 3.3 cm SLE (Farinotti 2019).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FASTG — 13 other RGI regions</w:t>
      </w:r>
      <w:r>
        <w:t xml:space="preserve"> </w:t>
      </w:r>
      <w:r>
        <w:t xml:space="preserve">(</w:t>
      </w:r>
      <w:r>
        <w:rPr>
          <w:rStyle w:val="VerbatimChar"/>
        </w:rPr>
        <w:t xml:space="preserve">FAST</w:t>
      </w:r>
      <w:r>
        <w:t xml:space="preserve"> </w:t>
      </w:r>
      <w:r>
        <w:t xml:space="preserve">in the code and output files). Ice volume at 2000: 9.4 ± 2.4 cm SLE. Smaller, faster-responding bodies with a smaller amplification (prior 1.45). This block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Ice volume at 2000: 6.9 ± 1.8 cm SLE. This block exists because the historical glacier target (Frederikse) assumes zero Antarctic-periphery melt, while the GlaMBIE series spliced in from 2019 onward includes it. Its amplification prior (0.72) is also far below the other two, which is another reason to separate this region. Its only direct sea-level observation is GlaMBIE's own estimate of the region's 2000–2024 mean rate (0.049 ± 0.116 mm/yr, weak by construction: no gravimetry separates the periphery from the ice sheet), and the Farinotti inventory fixes its volume; its committed-loss curve and response time therefore rest on the GlacierMIP3 constraints that all three blocks share (the committed-loss fractions at 1.2, 1.5, 2.0 and 3.0 K and the response-time anchors at 1.5 and 3.0 K; Zekollari et al. 2025), which is why its response time is the least constrained in the model (80–3200 yr across the posterior, see the peak-and-decline discussion below).</w:t>
      </w:r>
    </w:p>
    <w:p>
      <w:pPr>
        <w:pStyle w:val="BodyText"/>
      </w:pPr>
      <w:r>
        <w:t xml:space="preserve">These three blocks cover 18 of the 19 RGI regions; RGI 05, the Greenland Periphery, is excluded, as it is not included in Frederikse's glacier estimate but it is included in the Greenland ice-sheet module.</w:t>
      </w:r>
    </w:p>
    <w:p>
      <w:pPr>
        <w:pStyle w:val="BodyText"/>
      </w:pPr>
      <w:r>
        <w:rPr>
          <w:b/>
          <w:bCs/>
        </w:rPr>
        <w:t xml:space="preserve">Compared with other emulators.</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w:t>
      </w:r>
    </w:p>
    <w:p>
      <w:pPr>
        <w:pStyle w:val="BodyText"/>
      </w:pPr>
      <w:r>
        <w:t xml:space="preserve">Ladrillo constrains the remaining glacier ice at 2000 to 29.0 ± 6.0 cm SLE based on Farinotti 2019 excluding RGI region 5 (Millan 2022 has similar glacier ice numbers). The full-RGI Farinotti value is 32.4 ± 8.4 cm. Other emulators' inventories at 2000: BRICK 2.0 has about 38 cm of ice remaining. FACTS's AR5 glacier module caps cumulative melt at 31.6 cm SLE, which every SSP5-8.5 sample reaches by 2300; MAGICC's equilibrium curves imply roughly 26–36 cm across their 15 tunes, after about 9 cm of melt over 1850–2000. These figures may not be fully comparable, since not every model covers all 19 RGI regions (e.g., MAGICC's Marzeion 2012 basis omits the Antarctic periphery (RGI 19) and Ladrillo the Greenland periphery (RGI 05)).</w:t>
      </w:r>
    </w:p>
    <w:p>
      <w:pPr>
        <w:pStyle w:val="BodyText"/>
      </w:pPr>
      <w:r>
        <w:rPr>
          <w:b/>
          <w:bCs/>
        </w:rPr>
        <w:t xml:space="preserve">Regrowth potential.</w:t>
      </w:r>
      <w:r>
        <w:t xml:space="preserve"> </w:t>
      </w:r>
      <w:r>
        <w:t xml:space="preserve">Ladrillo does have the potential to regrow glacier ice after cooling: MAGICC and SURFER are the only two sea level emulators from SLEIP that can do the same.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(SMB / dynamic discharge).</w:t>
      </w:r>
      <w:r>
        <w:t xml:space="preserve"> </w:t>
      </w:r>
      <w:r>
        <w:t xml:space="preserve">Greenland melt occurs through surface-mass-balance response (about a 50-year relaxation timescale at present-day temperatures) and outlet/dynamic discharge (about a 170-year relaxation at present-day temperatures). Two channels allow for that partition.</w:t>
      </w:r>
    </w:p>
    <w:p>
      <w:pPr>
        <w:pStyle w:val="BodyText"/>
      </w:pPr>
      <w:r>
        <w:rPr>
          <w:b/>
          <w:bCs/>
        </w:rPr>
        <w:t xml:space="preserve">Two basins.</w:t>
      </w:r>
      <w:r>
        <w:t xml:space="preserve"> </w:t>
      </w:r>
      <w:r>
        <w:t xml:space="preserve">The sheet is split into an active basin (SW+CW+CE+SE+NW) and a high basin (NO+NE), each carrying its own SMB/discharge channel pair, with sector shares scored against Mouginot.</w:t>
      </w:r>
    </w:p>
    <w:p>
      <w:pPr>
        <w:pStyle w:val="BodyText"/>
      </w:pPr>
      <w:r>
        <w:rPr>
          <w:b/>
          <w:bCs/>
        </w:rPr>
        <w:t xml:space="preserve">Amplification.</w:t>
      </w:r>
      <w:r>
        <w:t xml:space="preserve"> </w:t>
      </w:r>
      <w:r>
        <w:t xml:space="preserve">The ratio of Greenland warming to global warming is centred on its observed level (1.92, with a prior width taken from the CMIP6 spread) and falls with warming in proportion to the CMIP6 ratio, which declines from 1.50 to 1.28 over 0.75–2.75 K of global warming; holding it constant instead would increase Greenland melt by an additional 1 cm (SSP1-2.6, 2300) to 9 cm (SSP5-8.5, 2300) (using a fixed-driver).</w:t>
      </w:r>
    </w:p>
    <w:p>
      <w:pPr>
        <w:pStyle w:val="BodyText"/>
      </w:pPr>
      <w:r>
        <w:rPr>
          <w:b/>
          <w:bCs/>
        </w:rPr>
        <w:t xml:space="preserve">Above-threshold discharge channel.</w:t>
      </w:r>
      <w:r>
        <w:t xml:space="preserve"> </w:t>
      </w:r>
      <w:r>
        <w:t xml:space="preserve">A third discharge channel on the high basin, enabling another melt mechanism above a threshold temperature: V = 564 cm, τ = 800 yr, onset 4.69 K global mean temperature, two stages, whole-sheet. It has zero effect below the threshold. It cannot be calibrated on observations, so the parameters were informed by ISMIP6 at 2100 and SICOPOLIS at 2300 and 3001. It contributes 35.1 cm to the SSP5-8.5 total at 2300 and nothing at SSP1-2.6 (exactly zero) or SSP2-4.5 (+0.04 cm). Without it, Greenland's SSP5-8.5 to SSP2-4.5 ratio at 2300 is 2.6, against 7.9–31.9 across the process-model literature.</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surface-mass-balance channel responds to Greenland's local warming of about 1.2 °C during 1920–45 (in contrast to 0.2 °C globally), then local cooling through 1990 while the globe warmed. Meanwhile, the discharge channel is a steadier source of melt.</w:t>
      </w:r>
    </w:p>
    <w:p>
      <w:pPr>
        <w:pStyle w:val="BodyText"/>
      </w:pPr>
      <w:r>
        <w:t xml:space="preserve">MAGICC similarly splits Greenland into SMB and SID and parameterises against SICOPOLIS.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Calibration inputs added or replaced relative to BRICK 2.0, with the version of each as used, and the two total-sea-level series the hindcast is compared against but not fitted to.</w:t>
      </w:r>
    </w:p>
    <w:tbl>
      <w:tblPr>
        <w:tblStyle w:val="Table"/>
        <w:tblW w:type="pct" w:w="5000"/>
        <w:tblLayout w:type="fixed"/>
        <w:tblLook w:firstRow="1" w:lastRow="0" w:firstColumn="0" w:lastColumn="0" w:noHBand="0" w:noVBand="0" w:val="0020"/>
      </w:tblPr>
      <w:tblGrid>
        <w:gridCol w:w="1821"/>
        <w:gridCol w:w="2772"/>
        <w:gridCol w:w="3326"/>
      </w:tblGrid>
      <w:tr>
        <w:trPr>
          <w:tblHeader w:val="on"/>
        </w:trPr>
        <w:tc>
          <w:tcPr/>
          <w:p>
            <w:pPr>
              <w:pStyle w:val="Compact"/>
            </w:pPr>
            <w:r>
              <w:t xml:space="preserve">data source</w:t>
            </w:r>
          </w:p>
        </w:tc>
        <w:tc>
          <w:tcPr/>
          <w:p>
            <w:pPr>
              <w:pStyle w:val="Compact"/>
            </w:pPr>
            <w:r>
              <w:t xml:space="preserve">version as used</w:t>
            </w:r>
          </w:p>
        </w:tc>
        <w:tc>
          <w:tcPr/>
          <w:p>
            <w:pPr>
              <w:pStyle w:val="Compact"/>
            </w:pPr>
            <w:r>
              <w:t xml:space="preserve">what it constrains</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paper</w:t>
            </w:r>
            <w:r>
              <w:t xml:space="preserve"> </w:t>
            </w:r>
            <w:r>
              <w:rPr>
                <w:rStyle w:val="VerbatimChar"/>
              </w:rPr>
              <w:t xml:space="preserve">10.1038/s41586-024-08545-z</w:t>
            </w:r>
            <w:r>
              <w:t xml:space="preserve">¹³</w:t>
            </w:r>
          </w:p>
        </w:tc>
        <w:tc>
          <w:tcPr/>
          <w:p>
            <w:pPr>
              <w:pStyle w:val="Compact"/>
            </w:pPr>
            <w:r>
              <w:t xml:space="preserve">The modern glacier rate, spliced onto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¹⁴</w:t>
            </w:r>
          </w:p>
        </w:tc>
        <w:tc>
          <w:tcPr/>
          <w:p>
            <w:pPr>
              <w:pStyle w:val="Compact"/>
            </w:pPr>
            <w:r>
              <w:t xml:space="preserve">Land-water storage, 2019–2023¹⁵.</w:t>
            </w:r>
          </w:p>
        </w:tc>
      </w:tr>
      <w:tr>
        <w:tc>
          <w:tcPr/>
          <w:p>
            <w:pPr>
              <w:pStyle w:val="Compact"/>
            </w:pPr>
            <w:r>
              <w:t xml:space="preserve">Mouginot 2019 Greenland sector shares</w:t>
            </w:r>
          </w:p>
        </w:tc>
        <w:tc>
          <w:tcPr/>
          <w:p>
            <w:pPr>
              <w:pStyle w:val="Compact"/>
            </w:pPr>
            <w:r>
              <w:rPr>
                <w:i/>
                <w:iCs/>
              </w:rPr>
              <w:t xml:space="preserve">PNAS</w:t>
            </w:r>
            <w:r>
              <w:t xml:space="preserve"> </w:t>
            </w:r>
            <w:r>
              <w:t xml:space="preserve">116:9239, Supplementary Dataset S2¹⁶</w:t>
            </w:r>
          </w:p>
        </w:tc>
        <w:tc>
          <w:tcPr/>
          <w:p>
            <w:pPr>
              <w:pStyle w:val="Compact"/>
            </w:pPr>
            <w:r>
              <w:t xml:space="preserve">The basin split, as a shares term rather than a level.</w:t>
            </w:r>
          </w:p>
        </w:tc>
      </w:tr>
      <w:tr>
        <w:tc>
          <w:tcPr/>
          <w:p>
            <w:pPr>
              <w:pStyle w:val="Compact"/>
            </w:pPr>
            <w:r>
              <w:t xml:space="preserve">Rignot 2019 Antarctic SMB</w:t>
            </w:r>
          </w:p>
        </w:tc>
        <w:tc>
          <w:tcPr/>
          <w:p>
            <w:pPr>
              <w:pStyle w:val="Compact"/>
            </w:pPr>
            <w:r>
              <w:rPr>
                <w:i/>
                <w:iCs/>
              </w:rPr>
              <w:t xml:space="preserve">PNAS</w:t>
            </w:r>
            <w:r>
              <w:t xml:space="preserve"> </w:t>
            </w:r>
            <w:r>
              <w:t xml:space="preserve">116:1095; 2098 ± 133 Gt/yr over 1979–2008¹⁷</w:t>
            </w:r>
          </w:p>
        </w:tc>
        <w:tc>
          <w:tcPr/>
          <w:p>
            <w:pPr>
              <w:pStyle w:val="Compact"/>
            </w:pPr>
            <w:r>
              <w:t xml:space="preserve">The absolute Antarctic flux scale.</w:t>
            </w:r>
          </w:p>
        </w:tc>
      </w:tr>
      <w:tr>
        <w:tc>
          <w:tcPr/>
          <w:p>
            <w:pPr>
              <w:pStyle w:val="Compact"/>
            </w:pPr>
            <w:r>
              <w:t xml:space="preserve">Farinotti 2019 glacier inventory</w:t>
            </w:r>
          </w:p>
        </w:tc>
        <w:tc>
          <w:tcPr/>
          <w:p>
            <w:pPr>
              <w:pStyle w:val="Compact"/>
            </w:pPr>
            <w:r>
              <w:rPr>
                <w:i/>
                <w:iCs/>
              </w:rPr>
              <w:t xml:space="preserve">Nat. Geosci.</w:t>
            </w:r>
            <w:r>
              <w:t xml:space="preserve"> </w:t>
            </w:r>
            <w:r>
              <w:t xml:space="preserve">12:168, reconciled per Hock 2023¹⁸</w:t>
            </w:r>
          </w:p>
        </w:tc>
        <w:tc>
          <w:tcPr/>
          <w:p>
            <w:pPr>
              <w:pStyle w:val="Compact"/>
            </w:pPr>
            <w:r>
              <w:t xml:space="preserve">The glacier volume remaining at 2000 (29.0 ± 6.0 cm SLE on Ladrillo's scope).</w:t>
            </w:r>
          </w:p>
        </w:tc>
      </w:tr>
      <w:tr>
        <w:tc>
          <w:tcPr/>
          <w:p>
            <w:pPr>
              <w:pStyle w:val="Compact"/>
            </w:pPr>
            <w:r>
              <w:t xml:space="preserve">Leclercq et al. 2011 19th-century glacier change</w:t>
            </w:r>
          </w:p>
        </w:tc>
        <w:tc>
          <w:tcPr/>
          <w:p>
            <w:pPr>
              <w:pStyle w:val="Compact"/>
            </w:pPr>
            <w:r>
              <w:rPr>
                <w:i/>
                <w:iCs/>
              </w:rPr>
              <w:t xml:space="preserve">Surv. Geophys.</w:t>
            </w:r>
            <w:r>
              <w:t xml:space="preserve"> </w:t>
            </w:r>
            <w:r>
              <w:t xml:space="preserve">32:519, DOI</w:t>
            </w:r>
            <w:r>
              <w:t xml:space="preserve"> </w:t>
            </w:r>
            <w:r>
              <w:rPr>
                <w:rStyle w:val="VerbatimChar"/>
              </w:rPr>
              <w:t xml:space="preserve">10.1007/s10712-011-9121-7</w:t>
            </w:r>
          </w:p>
        </w:tc>
        <w:tc>
          <w:tcPr/>
          <w:p>
            <w:pPr>
              <w:pStyle w:val="Compact"/>
            </w:pPr>
            <w:r>
              <w:t xml:space="preserve">The pre-observational melt,</w:t>
            </w:r>
            <w:r>
              <w:t xml:space="preserve"> </w:t>
            </w:r>
            <w:r>
              <w:rPr>
                <w:rStyle w:val="VerbatimChar"/>
              </w:rPr>
              <w:t xml:space="preserve">S(1900) − S(1850) ~ N(2.0, 0.9)</w:t>
            </w:r>
            <w:r>
              <w:t xml:space="preserve"> </w:t>
            </w:r>
            <w:r>
              <w:t xml:space="preserve">cm SLE.</w:t>
            </w:r>
          </w:p>
        </w:tc>
      </w:tr>
      <w:tr>
        <w:tc>
          <w:tcPr/>
          <w:p>
            <w:pPr>
              <w:pStyle w:val="Compact"/>
            </w:pPr>
            <w:r>
              <w:t xml:space="preserve">GlacierMIP3 equilibrium experiments (Zekollari et al. 2025)</w:t>
            </w:r>
          </w:p>
        </w:tc>
        <w:tc>
          <w:tcPr/>
          <w:p>
            <w:pPr>
              <w:pStyle w:val="Compact"/>
            </w:pPr>
            <w:r>
              <w:rPr>
                <w:i/>
                <w:iCs/>
              </w:rPr>
              <w:t xml:space="preserve">Science</w:t>
            </w:r>
            <w:r>
              <w:t xml:space="preserve">, DOI</w:t>
            </w:r>
            <w:r>
              <w:t xml:space="preserve"> </w:t>
            </w:r>
            <w:r>
              <w:rPr>
                <w:rStyle w:val="VerbatimChar"/>
              </w:rPr>
              <w:t xml:space="preserve">10.1126/science.adu4675</w:t>
            </w:r>
            <w:r>
              <w:t xml:space="preserve">; data</w:t>
            </w:r>
            <w:r>
              <w:t xml:space="preserve"> </w:t>
            </w:r>
            <w:r>
              <w:rPr>
                <w:rStyle w:val="VerbatimChar"/>
              </w:rPr>
              <w:t xml:space="preserve">10.5281/zenodo.15046588</w:t>
            </w:r>
          </w:p>
        </w:tc>
        <w:tc>
          <w:tcPr/>
          <w:p>
            <w:pPr>
              <w:pStyle w:val="Compact"/>
            </w:pPr>
            <w:r>
              <w:t xml:space="preserve">Each glacier block's committed-loss fraction at 1.2–3.0 K and its response-time anchors (a process-model constraint, not an observation).</w:t>
            </w:r>
          </w:p>
        </w:tc>
      </w:tr>
      <w:tr>
        <w:tc>
          <w:tcPr/>
          <w:p>
            <w:pPr>
              <w:pStyle w:val="Compact"/>
            </w:pPr>
            <w:r>
              <w:t xml:space="preserve">CMIP6 regional amplification (34–41 models)</w:t>
            </w:r>
          </w:p>
        </w:tc>
        <w:tc>
          <w:tcPr/>
          <w:p>
            <w:pPr>
              <w:pStyle w:val="Compact"/>
            </w:pPr>
            <w:r>
              <w:t xml:space="preserve">Pangeo/Google-Cloud CMIP6 zarr catalogue¹⁹</w:t>
            </w:r>
          </w:p>
        </w:tc>
        <w:tc>
          <w:tcPr/>
          <w:p>
            <w:pPr>
              <w:pStyle w:val="Compact"/>
            </w:pPr>
            <w:r>
              <w:t xml:space="preserve">Prior on the Antarctic amplification; the warming-dependence and prior width of the Greenland amplification (its level is observed; the glacier amplifications are observation-fitted, CMIP6 a check only).</w:t>
            </w:r>
          </w:p>
        </w:tc>
      </w:tr>
      <w:tr>
        <w:tc>
          <w:tcPr/>
          <w:p>
            <w:pPr>
              <w:pStyle w:val="Compact"/>
            </w:pPr>
            <w:r>
              <w:t xml:space="preserve">DAIS paleo ensemble</w:t>
            </w:r>
          </w:p>
        </w:tc>
        <w:tc>
          <w:tcPr/>
          <w:p>
            <w:pPr>
              <w:pStyle w:val="Compact"/>
            </w:pPr>
            <w:r>
              <w:rPr>
                <w:rStyle w:val="VerbatimChar"/>
              </w:rPr>
              <w:t xml:space="preserve">DAISfastdyn_calibratedParameters_gamma_29Jan2017.nc</w:t>
            </w:r>
            <w:r>
              <w:t xml:space="preserve">, shipped with MimiBRICK²⁰</w:t>
            </w:r>
          </w:p>
        </w:tc>
        <w:tc>
          <w:tcPr/>
          <w:p>
            <w:pPr>
              <w:pStyle w:val="Compact"/>
            </w:pPr>
            <w:r>
              <w:t xml:space="preserve">Joint prior on the seven freed geometry parameters (below).</w:t>
            </w:r>
          </w:p>
        </w:tc>
      </w:tr>
      <w:tr>
        <w:tc>
          <w:tcPr/>
          <w:p>
            <w:pPr>
              <w:pStyle w:val="Compact"/>
            </w:pPr>
            <w:r>
              <w:rPr>
                <w:i/>
                <w:iCs/>
              </w:rPr>
              <w:t xml:space="preserve">(not a calibration target)</w:t>
            </w:r>
            <w:r>
              <w:t xml:space="preserve"> </w:t>
            </w:r>
            <w:r>
              <w:t xml:space="preserve">Dangendorf 2024 GMSL</w:t>
            </w:r>
          </w:p>
        </w:tc>
        <w:tc>
          <w:tcPr/>
          <w:p>
            <w:pPr>
              <w:pStyle w:val="Compact"/>
            </w:pPr>
            <w:r>
              <w:t xml:space="preserve">Zenodo</w:t>
            </w:r>
            <w:r>
              <w:t xml:space="preserve"> </w:t>
            </w:r>
            <w:r>
              <w:rPr>
                <w:rStyle w:val="VerbatimChar"/>
              </w:rPr>
              <w:t xml:space="preserve">10.5281/zenodo.10621070</w:t>
            </w:r>
            <w:r>
              <w:t xml:space="preserve">²¹</w:t>
            </w:r>
          </w:p>
        </w:tc>
        <w:tc>
          <w:tcPr/>
          <w:p>
            <w:pPr>
              <w:pStyle w:val="Compact"/>
            </w:pPr>
            <w:r>
              <w:t xml:space="preserve">The total in FIG 1 and Table 4.</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Forster et al. 2026,</w:t>
            </w:r>
            <w:r>
              <w:t xml:space="preserve"> </w:t>
            </w:r>
            <w:r>
              <w:rPr>
                <w:rStyle w:val="VerbatimChar"/>
              </w:rPr>
              <w:t xml:space="preserve">10.5194/essd-18-3889-2026</w:t>
            </w:r>
            <w:r>
              <w:t xml:space="preserve">²²</w:t>
            </w:r>
          </w:p>
        </w:tc>
        <w:tc>
          <w:tcPr/>
          <w:p>
            <w:pPr>
              <w:pStyle w:val="Compact"/>
            </w:pPr>
            <w:r>
              <w:t xml:space="preserve">An independent consensus check on the total, FIG 1.</w:t>
            </w:r>
          </w:p>
        </w:tc>
      </w:tr>
    </w:tbl>
    <w:p>
      <w:pPr>
        <w:pStyle w:val="BodyText"/>
      </w:pPr>
      <w:r>
        <w:t xml:space="preserve">¹³ Acquired 2026-06-13. ¹⁴ Granule</w:t>
      </w:r>
      <w:r>
        <w:t xml:space="preserve"> </w:t>
      </w:r>
      <w:r>
        <w:rPr>
          <w:rStyle w:val="VerbatimChar"/>
        </w:rPr>
        <w:t xml:space="preserve">200204_202606</w:t>
      </w:r>
      <w:r>
        <w:t xml:space="preserve">. ¹⁵ The 2023 value is held constant through 2026, the end of the calibration window; in projections LWS follows BRICK's stochastic land-water module from 2019. ¹⁶</w:t>
      </w:r>
      <w:r>
        <w:t xml:space="preserve"> </w:t>
      </w:r>
      <w:r>
        <w:rPr>
          <w:rStyle w:val="VerbatimChar"/>
        </w:rPr>
        <w:t xml:space="preserve">pnas.1904242116.sd02.xlsx</w:t>
      </w:r>
      <w:r>
        <w:t xml:space="preserve">, sheet "(2) MB_GIS"; no dataset version is published. ¹⁷ Area-corrected ×0.888; entered as published values. ¹⁸ At the RGI ~2000 outline epoch, entered as published values; region polygons GTN-G Glacier Regions 2023, DOI</w:t>
      </w:r>
      <w:r>
        <w:t xml:space="preserve"> </w:t>
      </w:r>
      <w:r>
        <w:rPr>
          <w:rStyle w:val="VerbatimChar"/>
        </w:rPr>
        <w:t xml:space="preserve">10.5904/gtng-glacreg-2023-07</w:t>
      </w:r>
      <w:r>
        <w:t xml:space="preserve">, on the RGI6 scheme. ¹⁹ Fetched 2026-07-21 to 2026-08-24 (Greenland panel 2026-08-18, glacier panel 2026-08-23); member ID recorded per model and the panel pinned to the fetched files, so a later catalogue change cannot swap the ensemble. ²⁰ The 16-parameter / 800,000-member ensemble, used in a standardised correlation form; sha256[:16]</w:t>
      </w:r>
      <w:r>
        <w:t xml:space="preserve"> </w:t>
      </w:r>
      <w:r>
        <w:rPr>
          <w:rStyle w:val="VerbatimChar"/>
        </w:rPr>
        <w:t xml:space="preserve">0b53b45e2422563b</w:t>
      </w:r>
      <w:r>
        <w:t xml:space="preserve">, extracted 2026-08-24. ²¹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 ²² md5</w:t>
      </w:r>
      <w:r>
        <w:t xml:space="preserve"> </w:t>
      </w:r>
      <w:r>
        <w:rPr>
          <w:rStyle w:val="VerbatimChar"/>
        </w:rPr>
        <w:t xml:space="preserve">8ae5ac0041e26351b9f497f969bd0dab</w:t>
      </w:r>
      <w:r>
        <w:t xml:space="preserve">.</w:t>
      </w:r>
    </w:p>
    <w:p>
      <w:pPr>
        <w:pStyle w:val="BodyText"/>
      </w:pPr>
      <w:r>
        <w:rPr>
          <w:b/>
          <w:bCs/>
        </w:rPr>
        <w:t xml:space="preserve">Deliberately removed: IMBIE, and the total.</w:t>
      </w:r>
      <w:r>
        <w:t xml:space="preserve"> </w:t>
      </w:r>
      <w:r>
        <w:t xml:space="preserve">IMBIE was dropped from the Antarctic likelihood to avoid double-weighting mass-balance information already entering through other terms. The total sea-level series (the CSIRO (Church &amp; White 2011 lineage, 2015 update) reconstruction in BRICK 2.0) was dropped as a likelihood term because RGI 19, the one block with no target of its own, would otherwise absorb the observational budget's non-closure. Ladrillo is therefore fitted to the four component series and the point constraints above only, and the total's hindcast in FIG 1 and Table 4 (Dangendorf 2024) is an out-of-sample check, with the observed land-water storage added.</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(an effect of only about 0.002 W/m²).</w:t>
      </w:r>
    </w:p>
    <w:bookmarkEnd w:id="12"/>
    <w:bookmarkStart w:id="13" w:name="ladrillo-calibration-approach-updates"/>
    <w:p>
      <w:pPr>
        <w:pStyle w:val="Heading2"/>
      </w:pPr>
      <w:r>
        <w:t xml:space="preserve">Ladrillo Calibration Approach Updates</w:t>
      </w:r>
    </w:p>
    <w:p>
      <w:pPr>
        <w:pStyle w:val="FirstParagraph"/>
      </w:pPr>
      <w:r>
        <w:rPr>
          <w:b/>
          <w:bCs/>
        </w:rPr>
        <w:t xml:space="preserve">Vintage.</w:t>
      </w:r>
      <w:r>
        <w:t xml:space="preserve"> </w:t>
      </w:r>
      <w:r>
        <w:t xml:space="preserve">This document describes posterior L24, calibrated on FaIR 2.2.4 (fair-calibrate 1.6.0). Both hindcast arms are reproducible: every random seed is fixed and is recorded inside the output file read by each figure, so any number in this document can be regenerated precisely.</w:t>
      </w:r>
    </w:p>
    <w:p>
      <w:pPr>
        <w:pStyle w:val="BodyText"/>
      </w:pPr>
      <w:r>
        <w:t xml:space="preserve">58 parameters are sampled: 17 Antarctic, 9 Greenland, 19 glacier, 13 remaining (thermal expansion, two discrepancy bases of two coefficients each, and four AR(1) noise pairs). Four Antarctic changes distinguish Ladrillo's calibration from BRICK 2.0's — the three described below, plus an SMB likelihood term anchoring the Antarctic flux scale to Rignot 2019: the net balance (−145 ± 15 Gt/yr) is well constrained, but surface mass balance and discharge individually carry about ±505 Gt/yr each, so the anchor fixes the scale of the pair.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(see Figure 1 and Table 4). A key driver of differences between BRICK and Ladrillo is the observational constraint, since BRICK’s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DAIS maps global to Antarctic surface temperature through one ratio. Stock DAIS hard-codes 1.196, the inverted paleo regression which is an equilibrium amplification factor. Ladrillo samples the transient ratio with a prior of N(1.09, 0.180), equal to the CMIP6 ratio and between-model spread. The parameter’s leverage is strongly scenario-dependent: a one-sigma change moves Antarctic sea level at 2300 by about 58 cm on SSP2-4.5 (roughly 23% of that scenario's total) but only about 24 cm on SSP5-8.5 (under 5%), because SSP5-8.5 is already past the thresholds where amplification matters. Reverting to DAIS's 1.196 on the shipped posterior (fixed-driver arm) adds 17 cm to the SSP2-4.5 total at 2100 and 42 cm at 2300 (9 and 22 cm on SSP5-8.5).</w:t>
      </w:r>
    </w:p>
    <w:p>
      <w:pPr>
        <w:pStyle w:val="BodyText"/>
      </w:pPr>
      <w:r>
        <w:rPr>
          <w:b/>
          <w:bCs/>
        </w:rPr>
        <w:t xml:space="preserve">Discrepancy terms.</w:t>
      </w:r>
      <w:r>
        <w:t xml:space="preserve"> </w:t>
      </w:r>
      <w:r>
        <w:t xml:space="preserve">The glacier and thermal-expansion series each carry a two-coefficient model-discrepancy term δ(t), a low-order polynomial in time added to the modelled series before it is scored against the observations. Each basis is orthogonalised against a constant, so δ(t) cannot absorb a level shift, and against the shape the module itself can produce (the ocean-heat path for thermal expansion; the early-century observational ramp for glaciers), so it can only describe structure that rescaling the driver cannot. The basis vectors have unit RMS over the fit window, so each coefficient is an RMS discrepancy in cm, with a N(0, 0.5 cm) prior. Three of the four coefficients are centred near zero in the posterior (medians 0.01–0.04 cm); the first thermal-expansion coefficient is not (0.26 cm, 5–95% 0.09–0.40 cm): it absorbs the part of the FaIR ocean-heat discrepancy described later that a rescaling of the driver cannot. FIG 1 and Table 4 show the bare modules without δ(t), which keeps the comparison with BRICK 2.0, which has no such term, like-for-like.</w:t>
      </w:r>
    </w:p>
    <w:p>
      <w:pPr>
        <w:pStyle w:val="BodyText"/>
      </w:pPr>
      <w:r>
        <w:rPr>
          <w:b/>
          <w:bCs/>
        </w:rPr>
        <w:t xml:space="preserve">Sampler.</w:t>
      </w:r>
      <w:r>
        <w:t xml:space="preserve"> </w:t>
      </w:r>
      <w:r>
        <w:t xml:space="preserve">The posterior is sampled with a robust adaptive Metropolis algorithm (Vihola 2012), whose proposal covariance is adapted during the run toward a 0.234 acceptance rate from a seed taken from an earlier tuning chain. Four chains of 2,000,000 iterations are run; the first half of each is discarded and the 4,000,000 retained draws are thinned evenly to the 10,000-member posterior used for projection. The chains start over-dispersed: each begins from a different retained draw of an earlier tuning chain, chosen at the 2nd, 35th, 65th and 98th percentiles of</w:t>
      </w:r>
      <w:r>
        <w:t xml:space="preserve"> </w:t>
      </w:r>
      <w:r>
        <w:rPr>
          <w:rStyle w:val="VerbatimChar"/>
        </w:rPr>
        <w:t xml:space="preserve">ais_iceflow0</w:t>
      </w:r>
      <w:r>
        <w:t xml:space="preserve">, the slowest-mixing direction of the posterior, so that the between-chain comparison below can detect posterior mass a single chain would not reach in the run. (Starting from a jittered common point was tried and rejected: a jointly perturbed Antarctic geometry leaves the feasible region even when every marginal is within its bounds.)</w:t>
      </w:r>
    </w:p>
    <w:p>
      <w:pPr>
        <w:pStyle w:val="BodyText"/>
      </w:pPr>
      <w:r>
        <w:rPr>
          <w:b/>
          <w:bCs/>
        </w:rPr>
        <w:t xml:space="preserve">Convergence criterion.</w:t>
      </w:r>
      <w:r>
        <w:t xml:space="preserve"> </w:t>
      </w:r>
      <w:r>
        <w:t xml:space="preserve">Convergence is assessed with R̂, the Gelman–Rubin potential scale reduction factor (here the rank-normalised split-R̂ of Vehtari et al. 2021): the ratio of the pooled-chain spread of a quantity to its mean within-chain spread, which approaches 1 when the four chains have mixed into the same distribution and exceeds it while they still sample different regions. The parameter-level gate is R̂ &lt; 1.05 with an effective sample size above 400; 39 of the 58 parameters pass it. The 19 that fail are concentrated in the Antarctic block (the geometry ridge and the ocean-temperature parameters;</w:t>
      </w:r>
      <w:r>
        <w:t xml:space="preserve"> </w:t>
      </w:r>
      <w:r>
        <w:rPr>
          <w:rStyle w:val="VerbatimChar"/>
        </w:rPr>
        <w:t xml:space="preserve">ais_iceflow0</w:t>
      </w:r>
      <w:r>
        <w:t xml:space="preserve"> </w:t>
      </w:r>
      <w:r>
        <w:t xml:space="preserve">R̂ = 1.26,</w:t>
      </w:r>
      <w:r>
        <w:t xml:space="preserve"> </w:t>
      </w:r>
      <w:r>
        <w:rPr>
          <w:rStyle w:val="VerbatimChar"/>
        </w:rPr>
        <w:t xml:space="preserve">antarctic_alpha</w:t>
      </w:r>
      <w:r>
        <w:t xml:space="preserve"> </w:t>
      </w:r>
      <w:r>
        <w:t xml:space="preserve">1.28) and in Greenland's slow channel, directions that are weakly identified and compensate for each other. L24 is therefore accepted on the deliverable-level criterion: projected sea level converges (R̂ = 1.008 at 2100 and 1.011 at 2150 on SSP2-4.5, with an effective sample size of about 1050 on the 1,600 thinned draws used for the diagnostic).</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shift a 0–2000 m observation (IGCC deep-ocean heat times the observed upper-ocean expansion coefficient; an upper bound). Land-water storage is observational — neither model predicts it, so the land-water panel shows the observed series alone and both totals include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46"/>
        <w:gridCol w:w="1346"/>
        <w:gridCol w:w="1188"/>
        <w:gridCol w:w="1267"/>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w:t>
      </w:r>
    </w:p>
    <w:p>
      <w:pPr>
        <w:pStyle w:val="BodyText"/>
      </w:pPr>
      <w:r>
        <w:t xml:space="preserve">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w:t>
      </w:r>
    </w:p>
    <w:p>
      <w:pPr>
        <w:pStyle w:val="BodyText"/>
      </w:pPr>
      <w:r>
        <w:t xml:space="preserve">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w:t>
      </w:r>
    </w:p>
    <w:p>
      <w:pPr>
        <w:pStyle w:val="BodyText"/>
      </w:pPr>
      <w:r>
        <w:t xml:space="preserve">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yields 0.374 cm/yr and BRICK 2.0 0.389 against 0.392 for the observational target and 0.399 for IGCC (same linear fit, same window).</w:t>
      </w:r>
    </w:p>
    <w:p>
      <w:pPr>
        <w:pStyle w:val="BodyText"/>
      </w:pPr>
      <w:r>
        <w:rPr>
          <w:b/>
          <w:bCs/>
        </w:rPr>
        <w:t xml:space="preserve">Table 5.</w:t>
      </w:r>
      <w:r>
        <w:t xml:space="preserve"> </w:t>
      </w:r>
      <w:r>
        <w:t xml:space="preserve">Information criteria for the Ladrillo L24 and BRICK 2.0 hindcasts on the same four component series (Antarctica, glaciers, Greenland, thermal expansion; N = 502 observation-years, 1900–2026, cm relative to 1995–2005). ln L is the maximum over posterior draws. k is the number of sampled parameters the likelihood uses: the physical parameters under independent errors (50 / 27), plus each posterior's four (σ, ρ) noise pairs under AR(1) (58 / 35). AIC = 2k − 2 ln L; BIC = k ln N − 2 ln L; lower is better. Δ columns are BRICK 2.0 minus Ladrillo, so positive favours Ladrillo.</w:t>
      </w:r>
    </w:p>
    <w:tbl>
      <w:tblPr>
        <w:tblStyle w:val="Table"/>
        <w:tblW w:type="pct" w:w="5000"/>
        <w:tblLayout w:type="fixed"/>
        <w:tblLook w:firstRow="1" w:lastRow="0" w:firstColumn="0" w:lastColumn="0" w:noHBand="0" w:noVBand="0" w:val="0020"/>
      </w:tblPr>
      <w:tblGrid>
        <w:gridCol w:w="3960"/>
        <w:gridCol w:w="1188"/>
        <w:gridCol w:w="1900"/>
        <w:gridCol w:w="475"/>
        <w:gridCol w:w="396"/>
      </w:tblGrid>
      <w:tr>
        <w:trPr>
          <w:tblHeader w:val="on"/>
        </w:trPr>
        <w:tc>
          <w:tcPr/>
          <w:p>
            <w:pPr>
              <w:pStyle w:val="Compact"/>
            </w:pPr>
            <w:r>
              <w:t xml:space="preserve">likelihood</w:t>
            </w:r>
          </w:p>
        </w:tc>
        <w:tc>
          <w:tcPr/>
          <w:p>
            <w:pPr>
              <w:pStyle w:val="Compact"/>
            </w:pPr>
            <w:r>
              <w:t xml:space="preserve">k (Ladrillo / BRICK 2.0)</w:t>
            </w:r>
          </w:p>
        </w:tc>
        <w:tc>
          <w:tcPr/>
          <w:p>
            <w:pPr>
              <w:pStyle w:val="Compact"/>
            </w:pPr>
            <w:r>
              <w:t xml:space="preserve">ln L (Ladrillo / BRICK 2.0)</w:t>
            </w:r>
          </w:p>
        </w:tc>
        <w:tc>
          <w:tcPr/>
          <w:p>
            <w:pPr>
              <w:pStyle w:val="Compact"/>
            </w:pPr>
            <w:r>
              <w:t xml:space="preserve">ΔAIC</w:t>
            </w:r>
          </w:p>
        </w:tc>
        <w:tc>
          <w:tcPr/>
          <w:p>
            <w:pPr>
              <w:pStyle w:val="Compact"/>
            </w:pPr>
            <w:r>
              <w:t xml:space="preserve">ΔBIC</w:t>
            </w:r>
          </w:p>
        </w:tc>
      </w:tr>
      <w:tr>
        <w:tc>
          <w:tcPr/>
          <w:p>
            <w:pPr>
              <w:pStyle w:val="Compact"/>
            </w:pPr>
            <w:r>
              <w:t xml:space="preserve">Independent Gaussian, observational σ</w:t>
            </w:r>
          </w:p>
        </w:tc>
        <w:tc>
          <w:tcPr/>
          <w:p>
            <w:pPr>
              <w:pStyle w:val="Compact"/>
            </w:pPr>
            <w:r>
              <w:t xml:space="preserve">50 / 27</w:t>
            </w:r>
          </w:p>
        </w:tc>
        <w:tc>
          <w:tcPr/>
          <w:p>
            <w:pPr>
              <w:pStyle w:val="Compact"/>
            </w:pPr>
            <w:r>
              <w:t xml:space="preserve">75.6 / −1252.1</w:t>
            </w:r>
          </w:p>
        </w:tc>
        <w:tc>
          <w:tcPr/>
          <w:p>
            <w:pPr>
              <w:pStyle w:val="Compact"/>
            </w:pPr>
            <w:r>
              <w:t xml:space="preserve">+2610</w:t>
            </w:r>
          </w:p>
        </w:tc>
        <w:tc>
          <w:tcPr/>
          <w:p>
            <w:pPr>
              <w:pStyle w:val="Compact"/>
            </w:pPr>
            <w:r>
              <w:t xml:space="preserve">+2512</w:t>
            </w:r>
          </w:p>
        </w:tc>
      </w:tr>
      <w:tr>
        <w:tc>
          <w:tcPr/>
          <w:p>
            <w:pPr>
              <w:pStyle w:val="Compact"/>
            </w:pPr>
            <w:r>
              <w:t xml:space="preserve">AR(1) + observational σ, ρ ≤ 0.99 (the calibration's bound)</w:t>
            </w:r>
          </w:p>
        </w:tc>
        <w:tc>
          <w:tcPr/>
          <w:p>
            <w:pPr>
              <w:pStyle w:val="Compact"/>
            </w:pPr>
            <w:r>
              <w:t xml:space="preserve">58 / 35</w:t>
            </w:r>
          </w:p>
        </w:tc>
        <w:tc>
          <w:tcPr/>
          <w:p>
            <w:pPr>
              <w:pStyle w:val="Compact"/>
            </w:pPr>
            <w:r>
              <w:t xml:space="preserve">248.5 / 180.9</w:t>
            </w:r>
          </w:p>
        </w:tc>
        <w:tc>
          <w:tcPr/>
          <w:p>
            <w:pPr>
              <w:pStyle w:val="Compact"/>
            </w:pPr>
            <w:r>
              <w:t xml:space="preserve">+89</w:t>
            </w:r>
          </w:p>
        </w:tc>
        <w:tc>
          <w:tcPr/>
          <w:p>
            <w:pPr>
              <w:pStyle w:val="Compact"/>
            </w:pPr>
            <w:r>
              <w:t xml:space="preserve">−8</w:t>
            </w:r>
          </w:p>
        </w:tc>
      </w:tr>
      <w:tr>
        <w:tc>
          <w:tcPr/>
          <w:p>
            <w:pPr>
              <w:pStyle w:val="Compact"/>
            </w:pPr>
            <w:r>
              <w:t xml:space="preserve">AR(1) + observational σ, ρ ≤ 0.95</w:t>
            </w:r>
          </w:p>
        </w:tc>
        <w:tc>
          <w:tcPr/>
          <w:p>
            <w:pPr>
              <w:pStyle w:val="Compact"/>
            </w:pPr>
            <w:r>
              <w:t xml:space="preserve">58 / 35</w:t>
            </w:r>
          </w:p>
        </w:tc>
        <w:tc>
          <w:tcPr/>
          <w:p>
            <w:pPr>
              <w:pStyle w:val="Compact"/>
            </w:pPr>
            <w:r>
              <w:t xml:space="preserve">246.1 / 148.2</w:t>
            </w:r>
          </w:p>
        </w:tc>
        <w:tc>
          <w:tcPr/>
          <w:p>
            <w:pPr>
              <w:pStyle w:val="Compact"/>
            </w:pPr>
            <w:r>
              <w:t xml:space="preserve">+150</w:t>
            </w:r>
          </w:p>
        </w:tc>
        <w:tc>
          <w:tcPr/>
          <w:p>
            <w:pPr>
              <w:pStyle w:val="Compact"/>
            </w:pPr>
            <w:r>
              <w:t xml:space="preserve">+53</w:t>
            </w:r>
          </w:p>
        </w:tc>
      </w:tr>
      <w:tr>
        <w:tc>
          <w:tcPr/>
          <w:p>
            <w:pPr>
              <w:pStyle w:val="Compact"/>
            </w:pPr>
            <w:r>
              <w:t xml:space="preserve">AR(1) + observational σ, ρ ≤ 0.90</w:t>
            </w:r>
          </w:p>
        </w:tc>
        <w:tc>
          <w:tcPr/>
          <w:p>
            <w:pPr>
              <w:pStyle w:val="Compact"/>
            </w:pPr>
            <w:r>
              <w:t xml:space="preserve">58 / 35</w:t>
            </w:r>
          </w:p>
        </w:tc>
        <w:tc>
          <w:tcPr/>
          <w:p>
            <w:pPr>
              <w:pStyle w:val="Compact"/>
            </w:pPr>
            <w:r>
              <w:t xml:space="preserve">240.7 / 106.9</w:t>
            </w:r>
          </w:p>
        </w:tc>
        <w:tc>
          <w:tcPr/>
          <w:p>
            <w:pPr>
              <w:pStyle w:val="Compact"/>
            </w:pPr>
            <w:r>
              <w:t xml:space="preserve">+222</w:t>
            </w:r>
          </w:p>
        </w:tc>
        <w:tc>
          <w:tcPr/>
          <w:p>
            <w:pPr>
              <w:pStyle w:val="Compact"/>
            </w:pPr>
            <w:r>
              <w:t xml:space="preserve">+125</w:t>
            </w:r>
          </w:p>
        </w:tc>
      </w:tr>
    </w:tbl>
    <w:p>
      <w:pPr>
        <w:pStyle w:val="BodyText"/>
      </w:pPr>
      <w:r>
        <w:rPr>
          <w:b/>
          <w:bCs/>
        </w:rPr>
        <w:t xml:space="preserve">Ladrillo's hindcast gain is not its extra parameters.</w:t>
      </w:r>
      <w:r>
        <w:t xml:space="preserve"> </w:t>
      </w:r>
      <w:r>
        <w:t xml:space="preserve">Ladrillo samples more parameters than BRICK 2.0 (58 against 35, counting the four AR(1) noise pairs of each), so the gains in Table 4 could in principle be bought by the extra 23. Following the BRICK v0.2 description (Wong 2017), we test this with the Akaike (1974) and Bayesian (Schwarz 1978) information criteria, AIC = 2k − 2 ln L and BIC = k ln N − 2 ln L, evaluated at the maximum-likelihood posterior draw of each model on the same four component series (N = 502 observation-years) and charging every sampled parameter the likelihood uses (Table 5). Under a likelihood with independent observational errors the log-likelihood gain (+1328) is worth 1328 parameters under AIC and 427 under BIC, against the 23 charged. Under the calibration's own AR(1)-plus-observational-error likelihood, with the autocorrelation and noise scale profiled per series for both models, the gain is +68 log-likelihood units: three times the AIC charge (ΔAIC = +89) but level on BIC (ΔBIC = −8), because at the calibration's ρ ≤ 0.99 bound the AR(1) term acts as a near-random-walk discrepancy that absorbs BRICK 2.0's smooth component biases at little cost; bounding ρ at 0.95 restores a BIC margin of +53. The gain is carried by glaciers and Greenland (+33 and +30 log-likelihood units) and Antarctica (+6); thermal expansion is a tie by construction, since both models use the same module on the same ocean-heat driver. As in Wong 2017, the criteria therefore do not indicate that Ladrillo is over-parameterized relative to BRICK 2.0. Two limits apply: the maximum over draws is a lower bound on each model's true maximum likelihood, and Ladrillo was calibrated to these targets while BRICK 2.0 was calibrated to its own — the criteria correct for a fitted model's optimism, not for a comparator fitted to different data.</w:t>
      </w:r>
    </w:p>
    <w:p>
      <w:pPr>
        <w:pStyle w:val="BodyText"/>
      </w:pPr>
      <w:r>
        <w:rPr>
          <w:b/>
          <w:bCs/>
        </w:rPr>
        <w:t xml:space="preserve">For thermal expansion Ladrillo overshoots, and the cause is FaIR’s ocean heat.</w:t>
      </w:r>
      <w:r>
        <w:t xml:space="preserve"> </w:t>
      </w:r>
      <w:r>
        <w:t xml:space="preserve">In both Ladrillo and BRICK thermal expansion is exactly proportional to ocean heat, despite Ladrillo's expansion coefficient being within 3% of the value the observations imply. On the FaIR driver both models overestimate the 1993–2026 thermal-expansion rate (Ladrillo 1.27×, BRICK 2.0 1.17×), because FaIR's ocean heat uptake over that period is 1.22–1.29× the observed 0–2000 m products the target is built from.</w:t>
      </w:r>
    </w:p>
    <w:p>
      <w:pPr>
        <w:pStyle w:val="BodyText"/>
      </w:pPr>
      <w:r>
        <w:t xml:space="preserve">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almost 40% of Ladrillo's 0.8 cm excess). The remaining 1.10× is FaIR's full-depth heat uptake exceeding IGCC's full-depth estimate. Driving Ladrillo with observed 0–2000 m ocean heat reproduces the steric record within 4% in every era.</w:t>
      </w:r>
    </w:p>
    <w:bookmarkEnd w:id="17"/>
    <w:bookmarkStart w:id="55" w:name="ladrillo-projection-comparison"/>
    <w:p>
      <w:pPr>
        <w:pStyle w:val="Heading2"/>
      </w:pPr>
      <w:r>
        <w:t xml:space="preserve">Ladrillo Projection Comparison</w:t>
      </w:r>
    </w:p>
    <w:p>
      <w:pPr>
        <w:pStyle w:val="FirstParagraph"/>
      </w:pPr>
      <w:r>
        <w:t xml:space="preserve">We report comparisons to both the van Vuuren scenarios and the SSPs. All Ladrillo bands are the joint (posterior × FaIR-forcing) arm. Bars are 17–83% (thick) and 5–95% (thin). Ladrillo, BRICK, and FACTS have the same source of climate uncertainty (Ladrillo and BRICK 2.0 from the 841 FaIR configs with the same cubes, splice pivot, and pair seed; FACTS from 200 of the same configs, plus its modules' own sampling) whereas MAGICC-SLR relies on its own 600-member AR6 ensemble.</w:t>
      </w:r>
    </w:p>
    <w:p>
      <w:pPr>
        <w:pStyle w:val="BodyText"/>
      </w:pPr>
      <w:r>
        <w:t xml:space="preserve">FACTS is reported relative to base year 2005, treated as comparable to the 1995–2014 mean. FACTS's three emulandice workflows (Gaussian-process emulators of ISMIP6 and GlacierMIP2 output) end in 2100 by construction, so they appear only at that horizon on both scenario sets; its four other workflows run to 2300.</w:t>
      </w:r>
    </w:p>
    <w:p>
      <w:pPr>
        <w:pStyle w:val="BodyText"/>
      </w:pPr>
      <w:r>
        <w:t xml:space="preserve">On glaciers, Ladrillo and MAGICC-SLR share the Nauels 2017 transient, so differences between Ladrillo and MAGICC reflect differences in reservoir count, driver, and posterior; BRICK 2.0 and FACTS have independent modules. For Greenland all four formulations differ. For Antarctica Ladrillo and BRICK 2.0 share DAIS for the ice sheet though with different calibration sets, while FACTS (LARMIP, DeConto, Bamber, AR5 and emulated ice-sheet modules) and MAGICC-SLR differ. Ladrillo and BRICK 2.0 both use a proportional relationship between thermal expansion and ocean heat while FACTS uses a two-layer expansion model and MAGICC-SLR uses a 40-layer approach.</w:t>
      </w:r>
    </w:p>
    <w:p>
      <w:pPr>
        <w:pStyle w:val="BodyText"/>
      </w:pPr>
      <w:r>
        <w:drawing>
          <wp:inline>
            <wp:extent cx="5334000" cy="2607733"/>
            <wp:effectExtent b="0" l="0" r="0" t="0"/>
            <wp:docPr descr="van Vuuren scenario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scenarios at 2100, by component. Each of FACTS's unique modules is shown; the Total panel shows its seven workflow totals as one bracket spanning their medians (thin line: the union of their 5–95%). The three emulandice workflows end at 2100; the other four differ only in the Antarctic module. At 2150 and 2300 (FIGs 3, 4 and 9) only FACTS's climate-driven modules are drawn.</w:t>
      </w:r>
    </w:p>
    <w:p>
      <w:pPr>
        <w:pStyle w:val="BodyText"/>
      </w:pPr>
      <w:r>
        <w:drawing>
          <wp:inline>
            <wp:extent cx="5334000" cy="2607733"/>
            <wp:effectExtent b="0" l="0" r="0" t="0"/>
            <wp:docPr descr="van Vuuren scenario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scenario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scenarios, joint band, Ladrillo relative to BRICK 2.0.</w:t>
      </w:r>
    </w:p>
    <w:p>
      <w:pPr>
        <w:pStyle w:val="BodyText"/>
      </w:pPr>
      <w:r>
        <w:drawing>
          <wp:inline>
            <wp:extent cx="5334000" cy="5090832"/>
            <wp:effectExtent b="0" l="0" r="0" t="0"/>
            <wp:docPr descr="Glacier response on the declining scenario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090832"/>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scenarios: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results are shown for all modules through 2100, but past 2100 only the modules that explicitly respond to the FaIR climate driver are shown. Its Greenland module (FittedISMIP) is an emulator fitted to 2015–2100 ISMIP6 runs whose rate carries an explicit quadratic term in time; FACTS extrapolates it linearly after 2100, so letting it run on the temperature path results in High-to-Low Greenland rising from 47 to 112 cm by 2300 while the climate cools. The Bamber and DeConto modules select their projections from the temperature integrated over 2000–2099 with the AR5 Antarctic dynamics term as a prescribed function of time, and LARMIP's response functions are 200 years long and zero beyond, so by 2300 it has forgotten every pre-2100 forcing year.</w:t>
      </w:r>
    </w:p>
    <w:p>
      <w:pPr>
        <w:pStyle w:val="BodyText"/>
      </w:pPr>
      <w:r>
        <w:t xml:space="preserve">Modules whose components are not climate-driven at a given horizon, and every workflow total that depends on those modules, are therefore dropped from that horizon: at 2150 FACTS is shown for glaciers, thermal expansion, land-water storage and LARMIP Antarctica; at 2300 for glaciers, thermal expansion and land-water storage only. The SLEIP intercomparison introduction notes that some AR6 methods cannot project beyond their 2100 training horizon; so its 2300 FACTS values are presumably these extrapolations and not a climate-driven alternative.</w:t>
      </w:r>
    </w:p>
    <w:p>
      <w:pPr>
        <w:pStyle w:val="BodyText"/>
      </w:pPr>
      <w:r>
        <w:t xml:space="preserve">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The members with the strongest cooling (−1.5 to −2 K) give the largest Greenland melt (up to +343 cm from surface mass balance alone).</w:t>
      </w:r>
    </w:p>
    <w:bookmarkStart w:id="45" w:name="ssp-comparisons"/>
    <w:p>
      <w:pPr>
        <w:pStyle w:val="Heading3"/>
      </w:pPr>
      <w:r>
        <w:t xml:space="preserve">SSP comparisons</w:t>
      </w:r>
    </w:p>
    <w:p>
      <w:pPr>
        <w:pStyle w:val="FirstParagraph"/>
      </w:pPr>
      <w:r>
        <w:t xml:space="preserve">The SSP comparisons have similar results to the van Vuuren comparisons. Because SSP5-8.5 is warmer than the van Vuuren High scenario at every horizon (ensemble-mean 4.3 vs 3.3 K at 2100, 7.5 vs 6.7 K at 2300) it serves as the high bound for future climate.</w:t>
      </w:r>
    </w:p>
    <w:p>
      <w:pPr>
        <w:pStyle w:val="BodyText"/>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scenarios, each drawn twice — on the shared FaIR driver (filled) and on MAGICC's own 600-member climate (open), with the connector showing the swap — against MAGICC-SLR. Same posterior, above-threshold channel and draws on both climates; FACTS has no MAGICC-climate arm and is not drawn.</w:t>
      </w:r>
    </w:p>
    <w:bookmarkEnd w:id="49"/>
    <w:bookmarkStart w:id="53" w:name="X4f12e646f52b83df9c8e48c130b45c3d679266c"/>
    <w:p>
      <w:pPr>
        <w:pStyle w:val="Heading3"/>
      </w:pPr>
      <w:r>
        <w:t xml:space="preserve">Ladrillo's glaciers compared to emulandice for the same climate</w:t>
      </w:r>
    </w:p>
    <w:p>
      <w:pPr>
        <w:pStyle w:val="FirstParagraph"/>
      </w:pPr>
      <w:r>
        <w:t xml:space="preserve">FACTS's emulandice glacier module (Gaussian-process emulators of the GlacierMIP2 transient runs, one per RGI region, GSAT-driven, 2015–2100) was run on the same 200 FaIR configurations as Ladrillo, so the two can be compared sample by sample, with emulandice regions summed to Ladrillo's blocks and RGI 05 excluded (FIG 12). At 2100 Ladrillo's glacier melt since 2005 is 13% below emulandice on every scenario (SSP2-4.5: 9.9 vs 11.3 cm); the deficit is a result of SLOWG (0.74×) and RGI 19 (0.45×) while FASTG runs 1.13×; the two models agree at 2020 and diverge thereafter; and every paired 5–95% range spans zero. Replacing Ladrillo's fitted amplifications with the CMIP6 regional ratios does not close the gap (SLOWG falls to 0.60×, RGI 19 rises only to 0.61×), so it lies in the block dynamics rather than the driver. Aggregation is not the cause either: GlacierMIP3's per-region response times put the single-timescale bias at 8% for SLOWG and zero for RGI 19, which is a single region. What remains is the source of the timescales (GlacierMIP3's equilibrium anchors against GlacierMIP2's transients) and the inventory basis (emulandice reports the GlacierMIP2 models' own volumes), which have not been separated.</w:t>
      </w:r>
    </w:p>
    <w:p>
      <w:pPr>
        <w:pStyle w:val="BodyText"/>
      </w:pPr>
      <w:r>
        <w:drawing>
          <wp:inline>
            <wp:extent cx="5334000" cy="3437466"/>
            <wp:effectExtent b="0" l="0" r="0" t="0"/>
            <wp:docPr descr="Ladrillo glacier blocks vs emulandice on the same 200 FaIR configs" title="" id="51" name="Picture"/>
            <a:graphic>
              <a:graphicData uri="http://schemas.openxmlformats.org/drawingml/2006/picture">
                <pic:pic>
                  <pic:nvPicPr>
                    <pic:cNvPr descr="figures/gsic_blocks_vs_emulandice_L24.png" id="52" name="Picture"/>
                    <pic:cNvPicPr>
                      <a:picLocks noChangeArrowheads="1" noChangeAspect="1"/>
                    </pic:cNvPicPr>
                  </pic:nvPicPr>
                  <pic:blipFill>
                    <a:blip r:embed="rId50"/>
                    <a:stretch>
                      <a:fillRect/>
                    </a:stretch>
                  </pic:blipFill>
                  <pic:spPr bwMode="auto">
                    <a:xfrm>
                      <a:off x="0" y="0"/>
                      <a:ext cx="5334000" cy="3437466"/>
                    </a:xfrm>
                    <a:prstGeom prst="rect">
                      <a:avLst/>
                    </a:prstGeom>
                    <a:noFill/>
                    <a:ln w="9525">
                      <a:noFill/>
                      <a:headEnd/>
                      <a:tailEnd/>
                    </a:ln>
                  </pic:spPr>
                </pic:pic>
              </a:graphicData>
            </a:graphic>
          </wp:inline>
        </w:drawing>
      </w:r>
    </w:p>
    <w:p>
      <w:pPr>
        <w:pStyle w:val="BodyText"/>
      </w:pPr>
      <w:r>
        <w:rPr>
          <w:b/>
          <w:bCs/>
        </w:rPr>
        <w:t xml:space="preserve">FIG 12.</w:t>
      </w:r>
      <w:r>
        <w:t xml:space="preserve"> </w:t>
      </w:r>
      <w:r>
        <w:t xml:space="preserve">Glacier melt since 2005 by block, Ladrillo L24 (posterior draw k on shared configuration k) against FACTS emulandice on the same 200 FaIR configurations: median and 5–95% over the matched samples, 2020–2100, on the three SSPs and the two van Vuuren extremes. emulandice's per-region outputs are summed to Ladrillo's blocks; RGI 05 is dropped from emulandice because Ladrillo includes it in the Greenland ice sheet.</w:t>
      </w:r>
    </w:p>
    <w:bookmarkEnd w:id="53"/>
    <w:bookmarkStart w:id="54"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For the High scenario, the three models are fairly similar at 2100 (Ladrillo 72 cm, BRICK 2.0 82, MAGICC-SLR 62). By 2300 Ladrillo and BRICK 2.0 sit together (439 and 414 cm, median) well below MAGICC-SLR (570 cm), and the gap is due to Antarctica: 255 and 248 cm against MAGICC's 382. Driving both on MAGICC's own climate actually decreases their totals by 15–22 cm mainly due to thermal expansion (to 425 and 393; FIG 11), so the difference is the ice-sheet modules, not the climate.</w:t>
      </w:r>
    </w:p>
    <w:p>
      <w:pPr>
        <w:pStyle w:val="BodyText"/>
      </w:pPr>
      <w:r>
        <w:t xml:space="preserve">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0.0105, sd 0.0033 in Ladrillo; 0.0104, 0.0036 in BRICK 2.0),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scenario’s peak to 2300, it reaches only 0.18 cm at vvLN and 0.13 cm at vvML, and is essentially nil on the other scenarios.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w:t>
      </w:r>
    </w:p>
    <w:p>
      <w:pPr>
        <w:pStyle w:val="BodyText"/>
      </w:pPr>
      <w:r>
        <w:t xml:space="preserve">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SLOWG and RGI 19 regions have median response times of ~270 yr and ~470 yr, the latter very poorly constrained at 80–3200 yr across the posterior; all three blocks respond about three times faster at 3 K) this rate effect is compounded by an equilibrium effect.</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50" Type="http://schemas.openxmlformats.org/officeDocument/2006/relationships/image" Target="media/rId50.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2026-09-17T00:56:20Z</dcterms:created>
  <dcterms:modified xsi:type="dcterms:W3CDTF">2026-09-17T00:56:20Z</dcterms:modified>
</cp:coreProperties>
</file>

<file path=docProps/custom.xml><?xml version="1.0" encoding="utf-8"?>
<Properties xmlns="http://schemas.openxmlformats.org/officeDocument/2006/custom-properties" xmlns:vt="http://schemas.openxmlformats.org/officeDocument/2006/docPropsVTypes"/>
</file>