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13F5BB" w14:textId="033B148A" w:rsidR="00DD3F40" w:rsidRDefault="00D57A52">
      <w:r>
        <w:t xml:space="preserve">Why does MAGICC’s low-to-neg Greenland ice sheet have a much higher upper bound than MAGICC’s low ice sheet? </w:t>
      </w:r>
    </w:p>
    <w:p w14:paraId="7D3E89F0" w14:textId="3C3315B9" w:rsidR="00D57A52" w:rsidRDefault="00D57A52">
      <w:r>
        <w:t xml:space="preserve">It is interesting that </w:t>
      </w:r>
      <w:proofErr w:type="spellStart"/>
      <w:r>
        <w:t>Ladrillo’s</w:t>
      </w:r>
      <w:proofErr w:type="spellEnd"/>
      <w:r>
        <w:t xml:space="preserve"> 2300 AIS spread is dominated by the </w:t>
      </w:r>
      <w:proofErr w:type="spellStart"/>
      <w:r>
        <w:t>Antarctic_lambda</w:t>
      </w:r>
      <w:proofErr w:type="spellEnd"/>
      <w:r>
        <w:t xml:space="preserve"> prior, but it isn’t that different than BRICK 2.0’s AIS spread which doesn’t include that prior.</w:t>
      </w:r>
    </w:p>
    <w:p w14:paraId="2DE543C2" w14:textId="2504E7FF" w:rsidR="00D57A52" w:rsidRDefault="00D57A52">
      <w:proofErr w:type="spellStart"/>
      <w:r>
        <w:t>Ladrillo</w:t>
      </w:r>
      <w:proofErr w:type="spellEnd"/>
      <w:r>
        <w:t xml:space="preserve"> now has the lowest glacier melt in 2100 of the three models: BRICK is biased high because it has too much ice and too much committed melt. Do MAGICC and FACTS properly account for RGI 05? </w:t>
      </w:r>
      <w:r w:rsidR="001B478E">
        <w:t>Under RCP8.5, t</w:t>
      </w:r>
      <w:r>
        <w:t>he 31.6 cm SLE from FACTS and the upper end of the BRICK glacier melt are both too high relative to our 29</w:t>
      </w:r>
      <w:r w:rsidR="001B478E">
        <w:t xml:space="preserve"> cm glacial ice</w:t>
      </w:r>
      <w:r>
        <w:t xml:space="preserve"> estimate.</w:t>
      </w:r>
    </w:p>
    <w:p w14:paraId="4E3D22D2" w14:textId="6F926966" w:rsidR="00B80A49" w:rsidRDefault="00B80A49">
      <w:r>
        <w:t xml:space="preserve">Are there any other obvious comparisons to make between </w:t>
      </w:r>
      <w:proofErr w:type="spellStart"/>
      <w:r>
        <w:t>Ladrillo’s</w:t>
      </w:r>
      <w:proofErr w:type="spellEnd"/>
      <w:r>
        <w:t xml:space="preserve"> performance and that of the other models? Can we add anything more to how </w:t>
      </w:r>
      <w:proofErr w:type="spellStart"/>
      <w:r>
        <w:t>Ladrillo</w:t>
      </w:r>
      <w:proofErr w:type="spellEnd"/>
      <w:r>
        <w:t xml:space="preserve"> can be of complementary value given the existence of all the other SLEIP models? </w:t>
      </w:r>
    </w:p>
    <w:p w14:paraId="4EA39AEE" w14:textId="4E03D784" w:rsidR="00D57A52" w:rsidRDefault="00D57A52">
      <w:r>
        <w:t xml:space="preserve"> </w:t>
      </w:r>
      <w:r w:rsidR="00B80A49">
        <w:t xml:space="preserve">Didn’t we work on making a figure that would show the difference between the low scenario and the high scenario for each component? That should be added to the document. </w:t>
      </w:r>
    </w:p>
    <w:sectPr w:rsidR="00D57A52" w:rsidSect="00230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52"/>
    <w:rsid w:val="001B478E"/>
    <w:rsid w:val="0023077F"/>
    <w:rsid w:val="00424EB8"/>
    <w:rsid w:val="00B80A49"/>
    <w:rsid w:val="00D243EB"/>
    <w:rsid w:val="00D57A52"/>
    <w:rsid w:val="00DB6259"/>
    <w:rsid w:val="00DD3F40"/>
    <w:rsid w:val="00DE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B8A4CF"/>
  <w14:defaultImageDpi w14:val="32767"/>
  <w15:chartTrackingRefBased/>
  <w15:docId w15:val="{4B70D1F7-D32D-034C-8063-D3F3C83CF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Sarofim</dc:creator>
  <cp:keywords/>
  <dc:description/>
  <cp:lastModifiedBy>Marcus Sarofim</cp:lastModifiedBy>
  <cp:revision>3</cp:revision>
  <dcterms:created xsi:type="dcterms:W3CDTF">2026-09-12T15:13:00Z</dcterms:created>
  <dcterms:modified xsi:type="dcterms:W3CDTF">2026-09-12T15:29:00Z</dcterms:modified>
</cp:coreProperties>
</file>