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four carry a hindcast of every component from 1900 or earlier — BRICK 2.0, SURFER, MP25 and Ladrillo. SURFER's historical total runs outside the observational range in SLEIP's own assessment, and MP25 is a statistical fit to the Frederikse reconstruction that projects only to 2100; MAGICC-SLR and FRISIA start their ice sheets in 1990 and 2002, ProFSea in 2007. Beyond 2100, FACTS's ice-sheet modules either extrapolate or sample from 21st-century projections, so it does not respond to the climate path at the horizons where sea level commitment is decided, and MAGICC-SLR can only be run on MAGICC's own climate. Ladrillo keeps BRICK's design philosophy — physically based components calibrated on the historical record, a line of evidence independent of the large ice-sheet models — extends the observational constraint (an Antarctic likelihood from 1900 rather than IMBIE's 1992–2017; Dangendorf, GlaMBIE, GRACE and Mouginot added), and couples to a current FaIR (2.2.4, calibration 1.6.0) with a shared 841-member climate ensemble, so its projections carry climate uncertainty on the same footing as MAGICC's and FACTS's. It matches the historical record more closely than BRICK 2.0 on every ice component, with thermal expansion the one weakness, inherited from FaIR's ocean heat and absent when driven by observed ocean heat. It departs from the observational philosophy in two places that observations cannot reach — a Greenland commitment above a threshold, informed by SICOPOLIS, and local-to-global temperature amplification, informed by CMIP6 — and says so.</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2026-09-12T18:55:49Z</dcterms:created>
  <dcterms:modified xsi:type="dcterms:W3CDTF">2026-09-12T18:55:49Z</dcterms:modified>
</cp:coreProperties>
</file>

<file path=docProps/custom.xml><?xml version="1.0" encoding="utf-8"?>
<Properties xmlns="http://schemas.openxmlformats.org/officeDocument/2006/custom-properties" xmlns:vt="http://schemas.openxmlformats.org/officeDocument/2006/docPropsVTypes"/>
</file>