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and Ladrillo as the two models which run 1900-2300 and match observations. MAGICC-SLR and FRISIA start their ice sheets in 1990 and 2002 and ProFSea starts in 2007, and the FACTS workflow starts in 2005. Some other limitations of other emulators are that FACTS's ice-sheet modules either extrapolate or sample from 21st-century projections and that MAGICC-SLR can only be run on MAGICC's own climate.</w:t>
      </w:r>
    </w:p>
    <w:p>
      <w:pPr>
        <w:pStyle w:val="BodyText"/>
      </w:pPr>
      <w:r>
        <w:t xml:space="preserve">As a derivative of BRICK, Ladrillo and BRICK do share a similar niche. However, while Ladrillo generally keeps to BRICK’s design philosophy of physically based components calibrated on the historical record, it does depart from that philosophy in two places that observations cannot inform, namely a Greenland commitment above a threshold, informed by SICOPOLIS, and local-to-global temperature amplification, informed by CMIP6. Ladrillo also extended some of BRICK’s observational constraints (an Antarctic likelihood from 1900 rather than IMBIE's 1992–2017; Dangendorf, GlaMBIE, GRACE and Mouginot added), and is calibrated to a current version of FaIR (2.2.4, calibration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2640"/>
        <w:gridCol w:w="660"/>
        <w:gridCol w:w="792"/>
        <w:gridCol w:w="660"/>
        <w:gridCol w:w="528"/>
        <w:gridCol w:w="792"/>
        <w:gridCol w:w="660"/>
        <w:gridCol w:w="528"/>
        <w:gridCol w:w="660"/>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two priors: the Greenland tap (SICOPOLIS) and temperature amplification (CMIP6).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2376"/>
        <w:gridCol w:w="660"/>
        <w:gridCol w:w="792"/>
        <w:gridCol w:w="528"/>
        <w:gridCol w:w="660"/>
        <w:gridCol w:w="528"/>
        <w:gridCol w:w="660"/>
        <w:gridCol w:w="924"/>
        <w:gridCol w:w="792"/>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at 2000 (cm SLE)</w:t>
            </w:r>
          </w:p>
        </w:tc>
        <w:tc>
          <w:tcPr/>
          <w:p>
            <w:pPr>
              <w:pStyle w:val="Compact"/>
            </w:pPr>
            <w:r>
              <w:rPr>
                <w:sz w:val="16"/>
              </w:rPr>
              <w:t xml:space="preserve">37.7 (28–48)⁷</w:t>
            </w:r>
          </w:p>
        </w:tc>
        <w:tc>
          <w:tcPr/>
          <w:p>
            <w:pPr>
              <w:pStyle w:val="Compact"/>
            </w:pPr>
            <w:r>
              <w:rPr>
                <w:sz w:val="16"/>
              </w:rPr>
              <w:t xml:space="preserve">31.6⁸</w:t>
            </w:r>
          </w:p>
        </w:tc>
        <w:tc>
          <w:tcPr/>
          <w:p>
            <w:pPr>
              <w:pStyle w:val="Compact"/>
            </w:pPr>
            <w:r>
              <w:rPr>
                <w:sz w:val="16"/>
              </w:rPr>
              <w:t xml:space="preserve">n.d.</w:t>
            </w:r>
          </w:p>
        </w:tc>
        <w:tc>
          <w:tcPr/>
          <w:p>
            <w:pPr>
              <w:pStyle w:val="Compact"/>
            </w:pPr>
            <w:r>
              <w:rPr>
                <w:sz w:val="16"/>
              </w:rPr>
              <w:t xml:space="preserve">≈26–36⁹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n.d. (50 preindustrial)</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r>
        <w:tc>
          <w:tcPr/>
          <w:p>
            <w:pPr>
              <w:pStyle w:val="Compact"/>
            </w:pPr>
            <w:r>
              <w:rPr>
                <w:sz w:val="16"/>
              </w:rPr>
              <w:t xml:space="preserve">SLEIP parametrisation type (TE / glaciers / GIS / AIS / LWS)¹³</w:t>
            </w:r>
          </w:p>
        </w:tc>
        <w:tc>
          <w:tcPr/>
          <w:p>
            <w:pPr>
              <w:pStyle w:val="Compact"/>
            </w:pPr>
            <w:r>
              <w:rPr>
                <w:sz w:val="16"/>
              </w:rPr>
              <w:t xml:space="preserve">2 / 2 / 2 / 3 / —¹⁴</w:t>
            </w:r>
          </w:p>
        </w:tc>
        <w:tc>
          <w:tcPr/>
          <w:p>
            <w:pPr>
              <w:pStyle w:val="Compact"/>
            </w:pPr>
            <w:r>
              <w:rPr>
                <w:sz w:val="16"/>
              </w:rPr>
              <w:t xml:space="preserve">2 / 1 / 1, SEJ / 1, 2, SEJ / 1</w:t>
            </w:r>
          </w:p>
        </w:tc>
        <w:tc>
          <w:tcPr/>
          <w:p>
            <w:pPr>
              <w:pStyle w:val="Compact"/>
            </w:pPr>
            <w:r>
              <w:rPr>
                <w:sz w:val="16"/>
              </w:rPr>
              <w:t xml:space="preserve">2 / 2 / 2 / 3 / 1</w:t>
            </w:r>
          </w:p>
        </w:tc>
        <w:tc>
          <w:tcPr/>
          <w:p>
            <w:pPr>
              <w:pStyle w:val="Compact"/>
            </w:pPr>
            <w:r>
              <w:rPr>
                <w:sz w:val="16"/>
              </w:rPr>
              <w:t xml:space="preserve">3 / 2 / 2 / 2 / 1</w:t>
            </w:r>
          </w:p>
        </w:tc>
        <w:tc>
          <w:tcPr/>
          <w:p>
            <w:pPr>
              <w:pStyle w:val="Compact"/>
            </w:pPr>
            <w:r>
              <w:rPr>
                <w:sz w:val="16"/>
              </w:rPr>
              <w:t xml:space="preserve">2 / 2 / 2 / 2 / 1</w:t>
            </w:r>
          </w:p>
        </w:tc>
        <w:tc>
          <w:tcPr/>
          <w:p>
            <w:pPr>
              <w:pStyle w:val="Compact"/>
            </w:pPr>
            <w:r>
              <w:rPr>
                <w:sz w:val="16"/>
              </w:rPr>
              <w:t xml:space="preserve">2 / 1 / 1 / 1 / 1</w:t>
            </w:r>
          </w:p>
        </w:tc>
        <w:tc>
          <w:tcPr/>
          <w:p>
            <w:pPr>
              <w:pStyle w:val="Compact"/>
            </w:pPr>
            <w:r>
              <w:rPr>
                <w:sz w:val="16"/>
              </w:rPr>
              <w:t xml:space="preserve">3 / 2 / 3 / 3 / —</w:t>
            </w:r>
          </w:p>
        </w:tc>
        <w:tc>
          <w:tcPr/>
          <w:p>
            <w:pPr>
              <w:pStyle w:val="Compact"/>
            </w:pPr>
            <w:r>
              <w:rPr>
                <w:sz w:val="16"/>
              </w:rPr>
              <w:t xml:space="preserve">2 / 2 / 2 / 3 / 1¹⁵</w:t>
            </w:r>
          </w:p>
        </w:tc>
      </w:tr>
    </w:tbl>
    <w:p>
      <w:pPr>
        <w:pStyle w:val="BodyText"/>
      </w:pPr>
      <w:r>
        <w:t xml:space="preserve">⁷ Calibrated initial volume 42 cm (5–95% 32–52) at the 1850 start (Wigley and Raper's assumed 40 ± 10),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carried in the Greenland mask). ¹¹ Two channels (SMB, discharge) in each of two basins. ¹² AR5 (parametric), LARMIP (response functions), DeConto (sampled), Bamber (expert judgement). ¹³ SLEIP Table 2's classification of each component's functional form: 1 empirical (a statistical fit to, or direct sampling of, observations or model output), 2 physical parametrisation, 3 physical model (coupled ODEs implementing physical laws), SEJ structured expert judgement. The seven SLEIP entries are SLEIP's; Ladrillo's are ours under the same definitions. ¹⁴ SLEIP's Table 2 and results give BRICK no land-water component, although its §3.1 describes one (Dieng 2015 trends); the BRICK 2.0 arm here runs that module, which is zero before 2019 by BRICK's calibration convention. ¹⁵ Thermal expansion (∝ OHC, one coefficient) and the DAIS Antarctic model keep BRICK's form. The glacier law (Mengel 2016 equilibrium, Nauels 2017 Eq. 3 transient — the law SLEIP classes as type 2 for MAGICC) on three regional reservoirs, and the two-channel, two-basin Greenland relaxation with its threshold tap, are physical parametrisations; the type classifies the form, not the calibration source, so the SICOPOLIS-informed tap and CMIP6 amplification priors (note 4) do not make Greenland empirical. Land water storage is the observed series in the hindcast and BRICK's stochastic module in projections, both type 1 by SLEIP's definition.</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read by each figure,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This block exists because the historical glacier target (Frederikse) assumes zero Antarctic-periphery melt, while the GlaMBIE series spliced in from 2019 onward includes it. Folding RGI 19 into either SLOWP or FAST would leave the model's hindcast scope mismatched. Keeping it separate lets the hindcast be evaluated on SLOWP + FAST while RGI 19 still contributes to projected totals. Its amplification prior (0.72) is also far below the other two, so it is not physically interchangeable with them either.</w:t>
      </w:r>
    </w:p>
    <w:p>
      <w:pPr>
        <w:pStyle w:val="BodyText"/>
      </w:pPr>
      <w:r>
        <w:t xml:space="preserve">These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The two models also start from different total glacier inventories. BRICK 2.0's calibrated initial volume, at its 1850 start, centres on 42 cm SLE (5–95% 32–52), inherited from Wigley and Raper (2005), whose assumed initial volume is 40 cm (2σ 30–50) — 37.7 cm remaining at 2000 after its own 4.0 cm of melt, of which only 0.7 cm falls before 1900; Ladrillo constrains the remaining stock at 2000 to 29.0 ± 6.0 cm SLE on its target scope (Farinotti 2019 excluding RGI regions 5 and 19, plus 6.9 cm for region 19), with Millan 2022 agreeing to 1% on the matched scope. The full-RGI Farinotti value is 32.4 ± 8.4 cm. The comparators' inventories are larger and differ in scope: FACTS's AR5 glacier module caps cumulative melt at 31.6 cm SLE (AR5 Table 4.2's 41.2 cm less 9.63 cm; its regional fingerprints include the Greenland periphery and no Antarctic periphery), which every SSP5-8.5 sample reaches by 2300; MAGICC's tabulated equilibrium curves reach 35.6–45.1 cm SLE across their 15 tunes, measured from 1850; net of MAGICC's own 9.4 cm of melt over 1850–2000 that is roughly 26–36 cm at 2000, bracketing Farinotti. Ladrillo's glaciers exclude RGI 05 (about 3.4 cm SLE, carried inside its Greenland ice-sheet mask), so its glacier contribution is structurally smaller than the comparators' by that region's melt.</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cm,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24"/>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−0.01 cm against −1.93 cm, and 1950–1992 +0.003 cm against −0.71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0.374 cm/yr and BRICK 2.0 0.389 against 0.392 for the observational target and 0.399 for IGCC (same linear fit, same window).</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 At 2150 and 2300 (FIGs 3, 4 and 9) only FACTS's climate-driven modules are drawn.</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 Ladrillo relative to BRICK2.0.</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The SLEIP intercomparison carries the same FACTS v1.1 workflows to 2300 — the same FittedISMIP emulator, described there as "a cubic function of GSAT and quadratic function of time", and the same interpolated sampling of the Bamber and DeConto projections — and its own introduction notes that some AR6 methods cannot project beyond their 2100 training horizon; its 2300 FACTS values are therefore these extrapolations, not a climate-driven alternative. 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2026-09-13T19:06:24Z</dcterms:created>
  <dcterms:modified xsi:type="dcterms:W3CDTF">2026-09-13T19:06:24Z</dcterms:modified>
</cp:coreProperties>
</file>

<file path=docProps/custom.xml><?xml version="1.0" encoding="utf-8"?>
<Properties xmlns="http://schemas.openxmlformats.org/officeDocument/2006/custom-properties" xmlns:vt="http://schemas.openxmlformats.org/officeDocument/2006/docPropsVTypes"/>
</file>