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and Ladrillo as the two models which run 1900-2300 and match observations. MAGICC-SLR and FRISIA start their ice sheets in 1990 and 2002 and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two places that observations cannot inform, namely a Greenland commitment above a threshold, informed by SICOPOLIS, and global-to-local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two priors: Greenland's above-threshold discharge channel (SICOPOLIS) and temperature amplification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carried in the Greenland mask).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read by each figure,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warmer than its preindustrial equilibrium.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SLOWP — RGI regions 03, 09, 07, 06</w:t>
      </w:r>
      <w:r>
        <w:t xml:space="preserve"> </w:t>
      </w:r>
      <w:r>
        <w:t xml:space="preserve">(Arctic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Ice volume at 2000: 9.4 ± 2.4 cm SLE. Smaller, faster-responding bodies with a smaller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which is another reason to separate this region.</w:t>
      </w:r>
    </w:p>
    <w:p>
      <w:pPr>
        <w:pStyle w:val="BodyText"/>
      </w:pPr>
      <w:r>
        <w:t xml:space="preserve">These three blocks cover 18 of the 19 RGI regions; RGI 05, the Greenland Periphery, is excluded, as it is not included in Frederikse's glacier estimate and RGI 05 also falls inside the Greenland ice-sheet mask.</w:t>
      </w:r>
    </w:p>
    <w:p>
      <w:pPr>
        <w:pStyle w:val="BodyText"/>
      </w:pPr>
      <w:r>
        <w:rPr>
          <w:b/>
          <w:bCs/>
        </w:rPr>
        <w:t xml:space="preserve">Compared with other emulators.</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Ladrillo constrains the remaining glacier ice at 2000 to 29.0 ± 6.0 cm SLE based on Farinotti 2019 excluding RGI region 5 (Millan 2022 has similar glacier ice numbers). The full-RGI 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pPr>
        <w:pStyle w:val="BodyText"/>
      </w:pPr>
      <w:r>
        <w:rPr>
          <w:b/>
          <w:bCs/>
        </w:rPr>
        <w:t xml:space="preserve">Regrowth potential.</w:t>
      </w:r>
      <w:r>
        <w:t xml:space="preserve"> </w:t>
      </w:r>
      <w:r>
        <w:t xml:space="preserve">Ladrillo does have the potential to regrow glacier ice after cooling: MAGICC and SURFER are the only two sea level emulators from SLEIP that can do the same.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Above-threshold discharge channel.</w:t>
      </w:r>
      <w:r>
        <w:t xml:space="preserve"> </w:t>
      </w:r>
      <w:r>
        <w:t xml:space="preserve">A third discharge channel on the high basin, distinct from the slow channel above, carrying a post-2100 commitment above a threshold: V = 564 cm, τ = 800 yr, onset 4.69 K, two stages, whole-sheet. It does not open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76"/>
        <w:gridCol w:w="2455"/>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above-threshold channel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2026-09-13T22:14:55Z</dcterms:created>
  <dcterms:modified xsi:type="dcterms:W3CDTF">2026-09-13T22:14:55Z</dcterms:modified>
</cp:coreProperties>
</file>

<file path=docProps/custom.xml><?xml version="1.0" encoding="utf-8"?>
<Properties xmlns="http://schemas.openxmlformats.org/officeDocument/2006/custom-properties" xmlns:vt="http://schemas.openxmlformats.org/officeDocument/2006/docPropsVTypes"/>
</file>