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 though the freeing is not on its own established as the cause. BRICK 2.0 also samples its DAIS geometry; what differs is the constraint, since its Antarctic likelihood is IMBIE 1992–2017 while Ladrillo fits an Antarctic series from 1900, leaving BRICK 2.0's early record essentially unconstrained.</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that amplification would otherwise buy. These are regression slopes measured across the posterior draws, not one-at-a-time perturbations, so they carry the posterior's own parameter correlations.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 Over the shorter, more recent window — the level at 2024 relative to the 1995–2005 calibration baseline — both models run slightly high instead: observed +7.81 cm, Ladrillo +8.55 (+0.74), BRICK 2.0 +8.45 (+0.64), with IGCC's independent GMSL estimate at +8.33 cm in between.</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 and about ¾ of that is model structure and ¼ the climate module.</w:t>
      </w:r>
      <w:r>
        <w:t xml:space="preserve"> </w:t>
      </w:r>
      <w:r>
        <w:t xml:space="preserve">Measured on realised regrowth (peak-to-2300) at vvLN, the marker where regrowth is largest: MAGICC regrows 8.59 cm against Ladrillo's 0.18 cm, and driving Ladrillo's unchanged module with MAGICC's own climate recovers 2.20 cm of that gap — leaving 76% to structure and 24% to the climate driver. Pooled across the five markers with a real gap the structure share is higher still, 87%. Comparing instead the two models’ equilibrium laws directly — both evaluated at MAGICC’s own temperature, so climate differences are removed — Ladrillo’s committed equilibrium regrowth is somewhat</w:t>
      </w:r>
      <w:r>
        <w:t xml:space="preserve"> </w:t>
      </w:r>
      <w:r>
        <w:rPr>
          <w:i/>
          <w:iCs/>
        </w:rPr>
        <w:t xml:space="preserve">less</w:t>
      </w:r>
      <w:r>
        <w:t xml:space="preserve"> </w:t>
      </w:r>
      <w:r>
        <w:t xml:space="preserve">than MAGICC’s on every marker where the comparison is possible (ratio 0.06–0.86 across three markers). At the two coldest markers no comparison can be made at all: MAGICC’s own tabulated equilibrium curve is undefined below the pre-industrial state, and both markers cool past that floor by 2300. So the gap to MAGICC is not purely a rate effect; the SLOWP and R19 regions’ long timescales (~275 yr, ~465 yr) compound a somewhat smaller equilibrium target, not offset it.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2026-09-03T20:18:53Z</dcterms:created>
  <dcterms:modified xsi:type="dcterms:W3CDTF">2026-09-03T20:18:53Z</dcterms:modified>
</cp:coreProperties>
</file>

<file path=docProps/custom.xml><?xml version="1.0" encoding="utf-8"?>
<Properties xmlns="http://schemas.openxmlformats.org/officeDocument/2006/custom-properties" xmlns:vt="http://schemas.openxmlformats.org/officeDocument/2006/docPropsVTypes"/>
</file>