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compares well relative to the other models and sits in a unique space.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 BRICK's design philosophy is to calibrate on historical data products rather than to emulate projections from process-based models, which is what makes it a line of evidence relatively independent of the large Earth system and ice sheet models. Ladrillo extends that philosophy where the data reach — the Antarctic likelihood now runs from 1900 rather than IMBIE's 1992–2017 window, and Dangendorf, GlaMBIE, GRACE and Mouginot are added — but departs from it for the two parameters described below, both in regimes with no observational constraints. Ladrillo is also less independent of MAGICC on glaciers than BRICK 2.0 is, having adopted the Nauels 2017 transient.</w:t>
      </w:r>
    </w:p>
    <w:p>
      <w:pPr>
        <w:pStyle w:val="BodyText"/>
      </w:pPr>
      <w:r>
        <w:t xml:space="preserve">There are two key parameters not constrained by observations that are included in Ladrillo. The first is a Greenland tap that triggers above a threshold temperature and is informed by SICOPOLIS. The second is the use of local temperature amplification relative to global that is informed by CMIP6 in addition to historic observations, and is relevant for Antarctic melt.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 (The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w:t>
      </w:r>
    </w:p>
    <w:p>
      <w:pPr>
        <w:pStyle w:val="BodyText"/>
      </w:pPr>
      <w:r>
        <w:rPr>
          <w:b/>
          <w:bCs/>
        </w:rPr>
        <w:t xml:space="preserve">Regrowth potential.</w:t>
      </w:r>
      <w:r>
        <w:t xml:space="preserve"> </w:t>
      </w:r>
      <w:r>
        <w:t xml:space="preserve">Neither BRICK nor FACTS can regrow glacial ice, but MAGICC and Ladrillo can. The law is</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Ladrillo replaces that with a two-channel, two-basin sheet.</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Greenland is the component where the hindcast gain over BRICK 2.0 is largest. MAGICC similarly splits Greenland into SMB and SID and parameterises against SICOPOLIS, but with 17 parameters between the two, of which 9 vary and each of those takes only 4 distinct values.</w:t>
      </w:r>
    </w:p>
    <w:bookmarkEnd w:id="10"/>
    <w:bookmarkEnd w:id="11"/>
    <w:bookmarkStart w:id="12" w:name="ladrillo-calibration-data-updates"/>
    <w:p>
      <w:pPr>
        <w:pStyle w:val="Heading2"/>
      </w:pPr>
      <w:r>
        <w:t xml:space="preserve">Ladrillo Calibration Data Updates</w:t>
      </w:r>
    </w:p>
    <w:p>
      <w:pPr>
        <w:pStyle w:val="FirstParagraph"/>
      </w:pPr>
      <w:r>
        <w:t xml:space="preserve">Additional or replaced observational inputs, relative to BRICK 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rPr>
                <w:b/>
                <w:bCs/>
              </w:rPr>
              <w:t xml:space="preserve">Dangendorf 2024</w:t>
            </w:r>
            <w:r>
              <w:t xml:space="preserve"> </w:t>
            </w:r>
            <w:r>
              <w:t xml:space="preserve">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w:t>
            </w:r>
            <w:r>
              <w:t xml:space="preserve"> </w:t>
            </w:r>
            <w:r>
              <w:rPr>
                <w:b/>
                <w:bCs/>
              </w:rPr>
              <w:t xml:space="preserve">not</w:t>
            </w:r>
            <w:r>
              <w:t xml:space="preserve"> </w:t>
            </w:r>
            <w:r>
              <w:t xml:space="preserve">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previous GMSL reconstruction.</w:t>
            </w:r>
          </w:p>
        </w:tc>
      </w:tr>
      <w:tr>
        <w:tc>
          <w:tcPr/>
          <w:p>
            <w:pPr>
              <w:pStyle w:val="Compact"/>
            </w:pPr>
            <w:r>
              <w:rPr>
                <w:b/>
                <w:bCs/>
              </w:rPr>
              <w:t xml:space="preserve">GlaMBIE</w:t>
            </w:r>
            <w:r>
              <w:t xml:space="preserve"> </w:t>
            </w:r>
            <w:r>
              <w:t xml:space="preserve">glacier series (2019 onward)</w:t>
            </w:r>
          </w:p>
        </w:tc>
        <w:tc>
          <w:tcPr/>
          <w:p>
            <w:pPr>
              <w:pStyle w:val="Compact"/>
            </w:pPr>
            <w:r>
              <w:t xml:space="preserve">Dataset</w:t>
            </w:r>
            <w:r>
              <w:t xml:space="preserve"> </w:t>
            </w:r>
            <w:r>
              <w:rPr>
                <w:b/>
                <w:bCs/>
              </w:rPr>
              <w:t xml:space="preserve">1.0.0</w:t>
            </w:r>
            <w:r>
              <w:t xml:space="preserve">,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where Frederikse excludes it, which is why R19 is a separate block.</w:t>
            </w:r>
          </w:p>
        </w:tc>
      </w:tr>
      <w:tr>
        <w:tc>
          <w:tcPr/>
          <w:p>
            <w:pPr>
              <w:pStyle w:val="Compact"/>
            </w:pPr>
            <w:r>
              <w:rPr>
                <w:b/>
                <w:bCs/>
              </w:rPr>
              <w:t xml:space="preserve">JPL GRACE / GRACE-FO mascons</w:t>
            </w:r>
          </w:p>
        </w:tc>
        <w:tc>
          <w:tcPr/>
          <w:p>
            <w:pPr>
              <w:pStyle w:val="Compact"/>
            </w:pPr>
            <w:r>
              <w:t xml:space="preserve">Release</w:t>
            </w:r>
            <w:r>
              <w:t xml:space="preserve"> </w:t>
            </w:r>
            <w:r>
              <w:rPr>
                <w:b/>
                <w:bCs/>
              </w:rPr>
              <w:t xml:space="preserve">RL06.3Mv04 CRI</w:t>
            </w:r>
            <w:r>
              <w:t xml:space="preserve">,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w:t>
            </w:r>
            <w:r>
              <w:t xml:space="preserve"> </w:t>
            </w:r>
            <w:r>
              <w:rPr>
                <w:b/>
                <w:bCs/>
              </w:rPr>
              <w:t xml:space="preserve">Real data run 2019–2023</w:t>
            </w:r>
            <w:r>
              <w:t xml:space="preserve">; 2024 is held flat from 2023 (GlaMBIE, which is subtracted, ends 2023) and 2025–2026 are blank. The closure σ</w:t>
            </w:r>
            <w:r>
              <w:t xml:space="preserve"> </w:t>
            </w:r>
            <w:r>
              <w:rPr>
                <w:i/>
                <w:iCs/>
              </w:rPr>
              <w:t xml:space="preserve">is</w:t>
            </w:r>
            <w:r>
              <w:t xml:space="preserve"> </w:t>
            </w:r>
            <w:r>
              <w:t xml:space="preserve">trend-extended to the file horizon — the data are not.</w:t>
            </w:r>
          </w:p>
        </w:tc>
      </w:tr>
      <w:tr>
        <w:tc>
          <w:tcPr/>
          <w:p>
            <w:pPr>
              <w:pStyle w:val="Compact"/>
            </w:pPr>
            <w:r>
              <w:rPr>
                <w:b/>
                <w:bCs/>
              </w:rPr>
              <w:t xml:space="preserve">Mouginot</w:t>
            </w:r>
            <w:r>
              <w:t xml:space="preserve"> </w:t>
            </w:r>
            <w:r>
              <w:t xml:space="preserve">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rPr>
                <w:b/>
                <w:bCs/>
              </w:rPr>
              <w:t xml:space="preserve">Rignot 2019</w:t>
            </w:r>
            <w:r>
              <w:t xml:space="preserve"> </w:t>
            </w:r>
            <w:r>
              <w:t xml:space="preserve">Antarctic SMB, area-corrected ×0.888</w:t>
            </w:r>
          </w:p>
        </w:tc>
        <w:tc>
          <w:tcPr/>
          <w:p>
            <w:pPr>
              <w:pStyle w:val="Compact"/>
            </w:pPr>
            <w:r>
              <w:rPr>
                <w:i/>
                <w:iCs/>
              </w:rPr>
              <w:t xml:space="preserve">PNAS</w:t>
            </w:r>
            <w:r>
              <w:t xml:space="preserve"> </w:t>
            </w:r>
            <w:r>
              <w:t xml:space="preserve">116:1095; 2098 ± 133 Gt/yr over the 1979–2008 climatology.</w:t>
            </w:r>
            <w:r>
              <w:t xml:space="preserve"> </w:t>
            </w:r>
            <w:r>
              <w:rPr>
                <w:b/>
                <w:bCs/>
              </w:rPr>
              <w:t xml:space="preserve">No DOI or dataset version is recorded</w:t>
            </w:r>
            <w:r>
              <w:t xml:space="preserve"> </w:t>
            </w:r>
            <w:r>
              <w:t xml:space="preserve">— the values enter as typed constants, not a data file</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rPr>
                <w:b/>
                <w:bCs/>
              </w:rPr>
              <w:t xml:space="preserve">Glacier inventory</w:t>
            </w:r>
            <w:r>
              <w:t xml:space="preserve"> </w:t>
            </w:r>
            <w:r>
              <w:t xml:space="preserve">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w:t>
            </w:r>
            <w:r>
              <w:t xml:space="preserve"> </w:t>
            </w:r>
            <w:r>
              <w:rPr>
                <w:b/>
                <w:bCs/>
              </w:rPr>
              <w:t xml:space="preserve">no DOI or archive version recorded</w:t>
            </w:r>
            <w:r>
              <w:t xml:space="preserve">; region polygons GTN-G Glacier Regions</w:t>
            </w:r>
            <w:r>
              <w:t xml:space="preserve"> </w:t>
            </w:r>
            <w:r>
              <w:rPr>
                <w:b/>
                <w:bCs/>
              </w:rPr>
              <w:t xml:space="preserve">2023</w:t>
            </w:r>
            <w:r>
              <w:t xml:space="preserve">, DOI</w:t>
            </w:r>
            <w:r>
              <w:t xml:space="preserve"> </w:t>
            </w:r>
            <w:r>
              <w:rPr>
                <w:rStyle w:val="VerbatimChar"/>
              </w:rPr>
              <w:t xml:space="preserve">10.5904/gtng-glacreg-2023-07</w:t>
            </w:r>
            <w:r>
              <w:t xml:space="preserve">, on the</w:t>
            </w:r>
            <w:r>
              <w:t xml:space="preserve"> </w:t>
            </w:r>
            <w:r>
              <w:rPr>
                <w:b/>
                <w:bCs/>
              </w:rPr>
              <w:t xml:space="preserve">RGI6</w:t>
            </w:r>
            <w:r>
              <w:t xml:space="preserve"> </w:t>
            </w:r>
            <w:r>
              <w:t xml:space="preserve">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 neither of which the 20th-century transient identifies on its own.</w:t>
            </w:r>
          </w:p>
        </w:tc>
      </w:tr>
      <w:tr>
        <w:tc>
          <w:tcPr/>
          <w:p>
            <w:pPr>
              <w:pStyle w:val="Compact"/>
            </w:pPr>
            <w:r>
              <w:rPr>
                <w:b/>
                <w:bCs/>
              </w:rPr>
              <w:t xml:space="preserve">CMIP6 regional amplification</w:t>
            </w:r>
            <w:r>
              <w:t xml:space="preserve"> </w:t>
            </w:r>
            <w:r>
              <w:t xml:space="preserve">(34–41 models)</w:t>
            </w:r>
          </w:p>
        </w:tc>
        <w:tc>
          <w:tcPr/>
          <w:p>
            <w:pPr>
              <w:pStyle w:val="Compact"/>
            </w:pPr>
            <w:r>
              <w:t xml:space="preserve">Streamed from the live Pangeo/Google-Cloud CMIP6 zarr catalogue.</w:t>
            </w:r>
            <w:r>
              <w:t xml:space="preserve"> </w:t>
            </w:r>
            <w:r>
              <w:rPr>
                <w:b/>
                <w:bCs/>
              </w:rPr>
              <w:t xml:space="preserve">No catalogue snapshot date and no per-model ESGF dataset versions are recorded</w:t>
            </w:r>
            <w:r>
              <w:t xml:space="preserve">; what is pinned is the member ID per model, a fixed 40-model panel so a drifted catalogue cannot swap the ensemble, and a git commit hash in the derived priors</w:t>
            </w:r>
          </w:p>
        </w:tc>
        <w:tc>
          <w:tcPr/>
          <w:p>
            <w:pPr>
              <w:pStyle w:val="Compact"/>
            </w:pPr>
            <w:r>
              <w:t xml:space="preserve">Priors on the per-block glacier amplification and on Antarctic amplification.</w:t>
            </w:r>
          </w:p>
        </w:tc>
      </w:tr>
      <w:tr>
        <w:tc>
          <w:tcPr/>
          <w:p>
            <w:pPr>
              <w:pStyle w:val="Compact"/>
            </w:pPr>
            <w:r>
              <w:rPr>
                <w:b/>
                <w:bCs/>
              </w:rPr>
              <w:t xml:space="preserve">Paleo constraints</w:t>
            </w:r>
            <w:r>
              <w:t xml:space="preserve"> </w:t>
            </w:r>
            <w:r>
              <w:t xml:space="preserve">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rPr>
                <w:b/>
                <w:bCs/>
              </w:rPr>
              <w:t xml:space="preserve">IGCC 2025-indicators</w:t>
            </w:r>
            <w:r>
              <w:t xml:space="preserve"> </w:t>
            </w:r>
            <w:r>
              <w:t xml:space="preserve">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w:t>
            </w:r>
            <w:r>
              <w:t xml:space="preserve"> </w:t>
            </w:r>
            <w:r>
              <w:rPr>
                <w:b/>
                <w:bCs/>
              </w:rPr>
              <w:t xml:space="preserve">independent</w:t>
            </w:r>
            <w:r>
              <w:t xml:space="preserve"> </w:t>
            </w:r>
            <w:r>
              <w:t xml:space="preserve">consensus check on the total. It is</w:t>
            </w:r>
            <w:r>
              <w:t xml:space="preserve"> </w:t>
            </w:r>
            <w:r>
              <w:rPr>
                <w:i/>
                <w:iCs/>
              </w:rPr>
              <w:t xml:space="preserve">not</w:t>
            </w:r>
            <w:r>
              <w:t xml:space="preserve"> </w:t>
            </w:r>
            <w:r>
              <w:t xml:space="preserve">fitted; the fitted total is Dangendorf 2024.</w:t>
            </w:r>
          </w:p>
        </w:tc>
      </w:tr>
    </w:tbl>
    <w:p>
      <w:pPr>
        <w:pStyle w:val="BodyText"/>
      </w:pPr>
      <w:r>
        <w:t xml:space="preserve">Where a cell says a version is not recorded, that is the actual state of the provenance, not an omission from this table: those sources enter the calibration as typed constants or as a live catalogue query, and no version string exists in the repository to cite.</w:t>
      </w:r>
    </w:p>
    <w:p>
      <w:pPr>
        <w:pStyle w:val="BodyText"/>
      </w:pPr>
      <w:r>
        <w:rPr>
          <w:b/>
          <w:bCs/>
        </w:rPr>
        <w:t xml:space="preserve">Deliberately removed: IMBIE</w:t>
      </w:r>
      <w:r>
        <w:t xml:space="preserve">, dropped from the Antarctic likelihood to avoid double-weighting the same mass-balance information already entering through other terms.</w:t>
      </w:r>
    </w:p>
    <w:p>
      <w:pPr>
        <w:pStyle w:val="BodyText"/>
      </w:pPr>
      <w:r>
        <w:rPr>
          <w:b/>
          <w:bCs/>
        </w:rPr>
        <w:t xml:space="preserve">Forcing.</w:t>
      </w:r>
      <w:r>
        <w:t xml:space="preserve"> </w:t>
      </w:r>
      <w:r>
        <w:rPr>
          <w:b/>
          <w:bCs/>
        </w:rPr>
        <w:t xml:space="preserve">FaIR 2.2.4 (fair-calibrate 1.6.0)</w:t>
      </w:r>
      <w:r>
        <w:t xml:space="preserve">, driven by CMIP7 historical emissions 1750–2023 spliced at 2023.5 to MESSAGE-GLOBIOM SSP2-4.5 and harmonized per species. The calibration's own fit window runs to 2026, so its last three years sit on scenario rather than observed forcing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rPr>
          <w:b/>
          <w:bCs/>
        </w:rPr>
        <w:t xml:space="preserve">58 parameters are sampled</w:t>
      </w:r>
      <w:r>
        <w:t xml:space="preserve">: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They have not been ablated individually against the hindcast, so no single one is credited here.</w:t>
      </w:r>
    </w:p>
    <w:p>
      <w:pPr>
        <w:pStyle w:val="BodyText"/>
      </w:pPr>
      <w:r>
        <w:rPr>
          <w:b/>
          <w:bCs/>
        </w:rPr>
        <w:t xml:space="preserve">The seven DAIS geometry parameters</w:t>
      </w:r>
      <w:r>
        <w:t xml:space="preserve"> </w:t>
      </w:r>
      <w:r>
        <w:t xml:space="preserve">(</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−0.0096 cm against −1.9579 cm, and 1950–1992 +0.0027 cm against −0.7053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integrated from 1850, plotted from 1900, and driven by the same ssp245harm forcing. The total panel also shows IGCC 2025-indicators GMSL (tag</w:t>
      </w:r>
      <w:r>
        <w:t xml:space="preserve"> </w:t>
      </w:r>
      <w:r>
        <w:rPr>
          <w:rStyle w:val="VerbatimChar"/>
        </w:rPr>
        <w:t xml:space="preserve">v2026.06.02</w:t>
      </w:r>
      <w:r>
        <w:t xml:space="preserve">) as an independent consensus check, not a calibration target. Land-water storage is observational — neither model predicts it, so panel (e) shows the observed series alone and both totals carry it.</w:t>
      </w:r>
    </w:p>
    <w:p>
      <w:pPr>
        <w:pStyle w:val="BodyText"/>
      </w:pPr>
      <w:r>
        <w:t xml:space="preserve">RMSE ratio against BRICK 2.0 —</w:t>
      </w:r>
      <w:r>
        <w:t xml:space="preserve"> </w:t>
      </w:r>
      <w:r>
        <w:rPr>
          <w:b/>
          <w:bCs/>
        </w:rPr>
        <w:t xml:space="preserve">below 1 means Ladrillo is closer to the observations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uses the observed LWS time series directly, whereas native BRICK subtracts LWS prior to calibration, so its components represent sea level excluding LWS; the observed series is added to both totals to put them on the same basis as the LWS-inclusive observational total. Both arms are also driven by the same ssp245harm forcing, so a Ladrillo-minus-BRICK reading is a module difference. Separately, BRICK 2.0 runs on its own published posterior against our extended targets, so part of its bias is target vintage — a caveat that carries</w:t>
      </w:r>
      <w:r>
        <w:t xml:space="preserve"> </w:t>
      </w:r>
      <w:r>
        <w:rPr>
          <w:i/>
          <w:iCs/>
        </w:rPr>
        <w:t xml:space="preserve">more</w:t>
      </w:r>
      <w:r>
        <w:t xml:space="preserve"> </w:t>
      </w:r>
      <w:r>
        <w:t xml:space="preserve">weight in the earliest, sparsest-observation window than anywhere else.</w:t>
      </w:r>
    </w:p>
    <w:p>
      <w:pPr>
        <w:pStyle w:val="BodyText"/>
      </w:pPr>
      <w:r>
        <w:rPr>
          <w:i/>
          <w:iCs/>
        </w:rPr>
        <w:t xml:space="preserve">Thermal expansion in both models is driven by FaIR's full-depth ocean heat against a 0–2000 m target, so this row measures Ladrillo's fit relative to BRICK 2.0, not absolute accuracy — see the depth-scope discussion below.</w:t>
      </w:r>
    </w:p>
    <w:p>
      <w:pPr>
        <w:pStyle w:val="BodyText"/>
      </w:pPr>
      <w:r>
        <w:t xml:space="preserve">Ladrillo is closer to the observations than BRICK 2.0 on every ice component, particularly in early eras. Cumulative total sea level rise, comparing the 1900–1904 mean with the 2020–2024 mean: observed +21.00 cm, Ladrillo +19.84, BRICK 2.0 +21.34 — Ladrillo undershoots by 1.2 cm, BRICK overshoots by 0.3. Over the shorter, more recent window — the level at 2024 relative to the 1995–2005 baseline — both models still run high, but only slightly: observed +7.81 cm, Ladrillo +8.16 (+0.36) and BRICK 2.0 +8.34 (+0.54), with IGCC's independent GMSL estimate between them at +8.21. Each of those means is taken over the three years 2022–2024, the years for which the observational total exists.</w:t>
      </w:r>
    </w:p>
    <w:p>
      <w:pPr>
        <w:pStyle w:val="BodyText"/>
      </w:pPr>
      <w:r>
        <w:rPr>
          <w:b/>
          <w:bCs/>
        </w:rPr>
        <w:t xml:space="preserve">For thermal expansion Ladrillo overshoots, and the cause is FaIR.</w:t>
      </w:r>
      <w:r>
        <w:t xml:space="preserve"> </w:t>
      </w:r>
      <w:r>
        <w:t xml:space="preserve">In both Ladrillo and BRICK thermal expansion is</w:t>
      </w:r>
      <w:r>
        <w:t xml:space="preserve"> </w:t>
      </w:r>
      <w:r>
        <w:rPr>
          <w:i/>
          <w:iCs/>
        </w:rPr>
        <w:t xml:space="preserve">exactly</w:t>
      </w:r>
      <w:r>
        <w:t xml:space="preserve"> </w:t>
      </w:r>
      <w:r>
        <w:t xml:space="preserve">proportional to the ocean heat they are given. When given the FaIR driver, both models overestimate recent thermal expansion (BRICK 2.0 misses the 1993-2026 thermal expansion rate by 1.17× compared to Ladrillo's 1.27×). However, when using observed OHC Ladrillo reproduces steric changes within 4% at every era. Roughly half the apparent miss is depth scope: FaIR's ocean heat is full-depth while the steric target is 0–2000 m, and correcting on IGCC's own &gt;2000 m layer narrows the 1993–2026 rate ratio from 1.27× to as little as 1.15× — an upper bound on the correction, not a point estimate, since deep water expands less per joule than the heat ratio implies. A depth-resolved coefficient was tested and failed, though that may reflect observational uncertainty — the two spliced observed-OHC series we use, Zanna+Cheng and Zanna+IGCC, differ by 51% on 1950–1993 ocean heat gain (35% on five-year mean endpoints).</w:t>
      </w:r>
    </w:p>
    <w:bookmarkEnd w:id="17"/>
    <w:bookmarkStart w:id="45" w:name="ladrillo-projection-comparison"/>
    <w:p>
      <w:pPr>
        <w:pStyle w:val="Heading2"/>
      </w:pPr>
      <w:r>
        <w:t xml:space="preserve">Ladrillo Projection Comparison</w:t>
      </w:r>
    </w:p>
    <w:p>
      <w:pPr>
        <w:pStyle w:val="FirstParagraph"/>
      </w:pPr>
      <w:r>
        <w:t xml:space="preserve">The van Vuuren markers are the</w:t>
      </w:r>
      <w:r>
        <w:t xml:space="preserve"> </w:t>
      </w:r>
      <w:r>
        <w:rPr>
          <w:b/>
          <w:bCs/>
        </w:rPr>
        <w:t xml:space="preserve">primary</w:t>
      </w:r>
      <w:r>
        <w:t xml:space="preserve"> </w:t>
      </w:r>
      <w:r>
        <w:t xml:space="preserve">comparison; the SSPs are a secondary set and the control, being the only scenarios with a prior result to check the pipeline against. All Ladrillo bands are the</w:t>
      </w:r>
      <w:r>
        <w:t xml:space="preserve"> </w:t>
      </w:r>
      <w:r>
        <w:rPr>
          <w:b/>
          <w:bCs/>
        </w:rPr>
        <w:t xml:space="preserve">joint</w:t>
      </w:r>
      <w:r>
        <w:t xml:space="preserve"> </w:t>
      </w:r>
      <w:r>
        <w:t xml:space="preserve">(posterior × FaIR-forcing) arm, width-comparable to MAGICC and FACTS; BRICK 2.0's joint band uses the same cubes, splice pivot and pair seed.</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w:t>
      </w:r>
      <w:r>
        <w:t xml:space="preserve"> </w:t>
      </w:r>
      <w:r>
        <w:rPr>
          <w:b/>
          <w:bCs/>
        </w:rPr>
        <w:t xml:space="preserve">2100</w:t>
      </w:r>
      <w:r>
        <w:t xml:space="preserve">, by component.</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w:t>
      </w:r>
      <w:r>
        <w:t xml:space="preserve"> </w:t>
      </w:r>
      <w:r>
        <w:rPr>
          <w:b/>
          <w:bCs/>
        </w:rPr>
        <w:t xml:space="preserve">2150</w:t>
      </w:r>
      <w:r>
        <w:t xml:space="preserve">.</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w:t>
      </w:r>
      <w:r>
        <w:t xml:space="preserve"> </w:t>
      </w:r>
      <w:r>
        <w:rPr>
          <w:b/>
          <w:bCs/>
        </w:rPr>
        <w:t xml:space="preserve">2300</w:t>
      </w:r>
      <w:r>
        <w:t xml:space="preserve">.</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009269"/>
            <wp:effectExtent b="0" l="0" r="0" t="0"/>
            <wp:docPr descr="Glacier response on the declining markers" title="" id="31" name="Picture"/>
            <a:graphic>
              <a:graphicData uri="http://schemas.openxmlformats.org/drawingml/2006/picture">
                <pic:pic>
                  <pic:nvPicPr>
                    <pic:cNvPr descr="figures/vv_gsic_wr_vs_ladrillo_2300.png" id="32" name="Picture"/>
                    <pic:cNvPicPr>
                      <a:picLocks noChangeArrowheads="1" noChangeAspect="1"/>
                    </pic:cNvPicPr>
                  </pic:nvPicPr>
                  <pic:blipFill>
                    <a:blip r:embed="rId30"/>
                    <a:stretch>
                      <a:fillRect/>
                    </a:stretch>
                  </pic:blipFill>
                  <pic:spPr bwMode="auto">
                    <a:xfrm>
                      <a:off x="0" y="0"/>
                      <a:ext cx="5334000" cy="5009269"/>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Glacier contribution over time, comparing Ladrillo to BRICK2.0. This is where glacier regrowth is visible in Ladrillo for overshoot scenarios, whereas the Wigley-Raper formulation continues melting.</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w:t>
      </w:r>
      <w:r>
        <w:t xml:space="preserve"> </w:t>
      </w:r>
      <w:r>
        <w:rPr>
          <w:b/>
          <w:bCs/>
        </w:rPr>
        <w:t xml:space="preserve">2100</w:t>
      </w:r>
      <w:r>
        <w:t xml:space="preserve">.</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w:t>
      </w:r>
      <w:r>
        <w:t xml:space="preserve"> </w:t>
      </w:r>
      <w:r>
        <w:rPr>
          <w:b/>
          <w:bCs/>
        </w:rPr>
        <w:t xml:space="preserve">2300</w:t>
      </w:r>
      <w:r>
        <w:t xml:space="preserve">, where only MAGICC-SLR and BRICK 2.0 extend.</w:t>
      </w:r>
    </w:p>
    <w:p>
      <w:pPr>
        <w:pStyle w:val="BodyText"/>
      </w:pPr>
      <w:r>
        <w:drawing>
          <wp:inline>
            <wp:extent cx="5334000" cy="2133600"/>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w:t>
      </w:r>
      <w:r>
        <w:t xml:space="preserve"> </w:t>
      </w:r>
      <w:r>
        <w:rPr>
          <w:b/>
          <w:bCs/>
        </w:rPr>
        <w:t xml:space="preserve">72.6 cm</w:t>
      </w:r>
      <w:r>
        <w:t xml:space="preserve"> </w:t>
      </w:r>
      <w:r>
        <w:t xml:space="preserve">(SSP1-2.6),</w:t>
      </w:r>
      <w:r>
        <w:t xml:space="preserve"> </w:t>
      </w:r>
      <w:r>
        <w:rPr>
          <w:b/>
          <w:bCs/>
        </w:rPr>
        <w:t xml:space="preserve">249.2 cm</w:t>
      </w:r>
      <w:r>
        <w:t xml:space="preserve"> </w:t>
      </w:r>
      <w:r>
        <w:t xml:space="preserve">(SSP2-4.5),</w:t>
      </w:r>
      <w:r>
        <w:t xml:space="preserve"> </w:t>
      </w:r>
      <w:r>
        <w:rPr>
          <w:b/>
          <w:bCs/>
        </w:rPr>
        <w:t xml:space="preserve">516.7 cm</w:t>
      </w:r>
      <w:r>
        <w:t xml:space="preserve"> </w:t>
      </w:r>
      <w:r>
        <w:t xml:space="preserve">(SSP5-8.5).</w:t>
      </w:r>
    </w:p>
    <w:bookmarkEnd w:id="42"/>
    <w:bookmarkStart w:id="43"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was therefore re-run on MAGICC's climate to test which differences were due to sea level module versus climate module.</w:t>
      </w:r>
    </w:p>
    <w:bookmarkEnd w:id="43"/>
    <w:bookmarkStart w:id="44" w:name="X24c92579f6713723bf9ed7066aed63ccd1e3f3f"/>
    <w:p>
      <w:pPr>
        <w:pStyle w:val="Heading3"/>
      </w:pPr>
      <w:r>
        <w:t xml:space="preserve">Physical intuition — how Ladrillo behaves by scenario class</w:t>
      </w:r>
    </w:p>
    <w:p>
      <w:pPr>
        <w:pStyle w:val="FirstParagraph"/>
      </w:pPr>
      <w:r>
        <w:rPr>
          <w:b/>
          <w:bCs/>
        </w:rPr>
        <w:t xml:space="preserve">High scenarios.</w:t>
      </w:r>
      <w:r>
        <w:t xml:space="preserve"> </w:t>
      </w:r>
      <w:r>
        <w:t xml:space="preserve">Ladrillo is comparable to the other models at 2100. By 2300 it separates upward from BRICK 2.0 (due largely to Antarctic threshold behavior) but stays below MAGICC-SLR's steeper rise (439 cm vs. 570 cm, median). Its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and FACTS's 148. On spread it is narrower than both BRICK 2.0 and FACTS on every component; MAGICC-SLR is the narrow outlier throughout (2300 total 5–95% width 67 cm against Ladrillo's 163, BRICK 2.0's 182 and FACTS's 259), and it is only against MAGICC-SLR that Ladrillo's Antarctic and thermal-expansion bands are the wider ones.</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2026-09-10T20:19:46Z</dcterms:created>
  <dcterms:modified xsi:type="dcterms:W3CDTF">2026-09-10T20:19:46Z</dcterms:modified>
</cp:coreProperties>
</file>

<file path=docProps/custom.xml><?xml version="1.0" encoding="utf-8"?>
<Properties xmlns="http://schemas.openxmlformats.org/officeDocument/2006/custom-properties" xmlns:vt="http://schemas.openxmlformats.org/officeDocument/2006/docPropsVTypes"/>
</file>