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299"/>
        <w:gridCol w:w="510"/>
        <w:gridCol w:w="638"/>
        <w:gridCol w:w="510"/>
        <w:gridCol w:w="1149"/>
        <w:gridCol w:w="510"/>
        <w:gridCol w:w="510"/>
        <w:gridCol w:w="894"/>
        <w:gridCol w:w="894"/>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(cm SLE) and its epoch</w:t>
            </w:r>
          </w:p>
        </w:tc>
        <w:tc>
          <w:tcPr/>
          <w:p>
            <w:pPr>
              <w:pStyle w:val="Compact"/>
            </w:pPr>
            <w:r>
              <w:rPr>
                <w:sz w:val="16"/>
              </w:rPr>
              <w:t xml:space="preserve">42 at 1850⁷</w:t>
            </w:r>
          </w:p>
        </w:tc>
        <w:tc>
          <w:tcPr/>
          <w:p>
            <w:pPr>
              <w:pStyle w:val="Compact"/>
            </w:pPr>
            <w:r>
              <w:rPr>
                <w:sz w:val="16"/>
              </w:rPr>
              <w:t xml:space="preserve">31.6 at ~2000⁸</w:t>
            </w:r>
          </w:p>
        </w:tc>
        <w:tc>
          <w:tcPr/>
          <w:p>
            <w:pPr>
              <w:pStyle w:val="Compact"/>
            </w:pPr>
            <w:r>
              <w:rPr>
                <w:sz w:val="16"/>
              </w:rPr>
              <w:t xml:space="preserve">n.d.</w:t>
            </w:r>
          </w:p>
        </w:tc>
        <w:tc>
          <w:tcPr/>
          <w:p>
            <w:pPr>
              <w:pStyle w:val="Compact"/>
            </w:pPr>
            <w:r>
              <w:rPr>
                <w:sz w:val="16"/>
              </w:rPr>
              <w:t xml:space="preserve">35.6–45.1 at 1850 (≈26–36 at 2000)⁹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50, preindustrial</w:t>
            </w:r>
          </w:p>
        </w:tc>
        <w:tc>
          <w:tcPr/>
          <w:p>
            <w:pPr>
              <w:pStyle w:val="Compact"/>
            </w:pPr>
            <w:r>
              <w:rPr>
                <w:sz w:val="16"/>
              </w:rPr>
              <w:t xml:space="preserve">29.0 ± 6.0 at 2000¹⁰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Initial volume at the model start; Wigley–Raper assumed maximum 41. ⁸ Cumulative-melt cap from AR5 Table 4.2, less the Antarctic periphery. ⁹ Across the 15 glacier tunes; MAGICC's own 1850–2000 melt is 9.4 cm (5–95% 4.7–13.2), so the 2000-basis range is approximate.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2026-09-12T20:21:07Z</dcterms:created>
  <dcterms:modified xsi:type="dcterms:W3CDTF">2026-09-12T20:21:07Z</dcterms:modified>
</cp:coreProperties>
</file>

<file path=docProps/custom.xml><?xml version="1.0" encoding="utf-8"?>
<Properties xmlns="http://schemas.openxmlformats.org/officeDocument/2006/custom-properties" xmlns:vt="http://schemas.openxmlformats.org/officeDocument/2006/docPropsVTypes"/>
</file>