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19D34D" w14:textId="77777777" w:rsidR="00D80873" w:rsidRDefault="00000000">
      <w:pPr>
        <w:pStyle w:val="Heading1"/>
      </w:pPr>
      <w:bookmarkStart w:id="0" w:name="ladrillo-sea-level-rise-emulator"/>
      <w:r>
        <w:t>Ladrillo Sea Level Rise Emulator</w:t>
      </w:r>
    </w:p>
    <w:p w14:paraId="2ACC2B08" w14:textId="77777777" w:rsidR="00D80873" w:rsidRDefault="00000000">
      <w:pPr>
        <w:pStyle w:val="FirstParagraph"/>
      </w:pPr>
      <w:r>
        <w:t>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759BA79F" w14:textId="77777777" w:rsidR="00D80873" w:rsidRDefault="00000000">
      <w:pPr>
        <w:pStyle w:val="BodyText"/>
      </w:pPr>
      <w:r>
        <w:t>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 Ladrillo is also less independent of MAGICC on glaciers than BRICK 2.0 is, having adopted the Nauels 2017 transient.</w:t>
      </w:r>
    </w:p>
    <w:p w14:paraId="6F7A772B" w14:textId="77777777" w:rsidR="00D80873" w:rsidRDefault="00000000">
      <w:pPr>
        <w:pStyle w:val="BodyText"/>
      </w:pPr>
      <w:r>
        <w:t>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14:paraId="483AA8ED" w14:textId="77777777" w:rsidR="00D80873" w:rsidRDefault="00000000">
      <w:pPr>
        <w:pStyle w:val="BlockText"/>
      </w:pPr>
      <w:r>
        <w:rPr>
          <w:b/>
          <w:bCs/>
        </w:rPr>
        <w:t>Vintage.</w:t>
      </w:r>
      <w:r>
        <w:t xml:space="preserve"> 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p w14:paraId="0D6F7321" w14:textId="77777777" w:rsidR="00D80873" w:rsidRDefault="00000000">
      <w:pPr>
        <w:pStyle w:val="Heading2"/>
      </w:pPr>
      <w:bookmarkStart w:id="1" w:name="ladrillo-structural-updates"/>
      <w:r>
        <w:t>Ladrillo Structural Updates</w:t>
      </w:r>
    </w:p>
    <w:p w14:paraId="07A0631A" w14:textId="77777777" w:rsidR="00D80873" w:rsidRDefault="00000000">
      <w:pPr>
        <w:pStyle w:val="Heading3"/>
      </w:pPr>
      <w:bookmarkStart w:id="2" w:name="gsic"/>
      <w:r>
        <w:t>GSIC</w:t>
      </w:r>
    </w:p>
    <w:p w14:paraId="2F069312" w14:textId="77777777" w:rsidR="00D80873" w:rsidRDefault="00000000">
      <w:pPr>
        <w:pStyle w:val="FirstParagraph"/>
      </w:pPr>
      <w:r>
        <w:t xml:space="preserve">BRICK 2.0's glacier model uses a Wigley-Raper equation that is always melting when above its equilibrium temperature. Ladrillo replaces it with a Mengel-style equilibrium volume </w:t>
      </w:r>
      <w:r>
        <w:rPr>
          <w:rStyle w:val="VerbatimChar"/>
        </w:rPr>
        <w:t>S_eq</w:t>
      </w:r>
      <w:r>
        <w:t xml:space="preserve"> driven by a Nauels-ν transient, which separates </w:t>
      </w:r>
      <w:r>
        <w:rPr>
          <w:i/>
          <w:iCs/>
        </w:rPr>
        <w:t>how much</w:t>
      </w:r>
      <w:r>
        <w:t xml:space="preserve"> ice is committed at a given </w:t>
      </w:r>
      <w:r>
        <w:lastRenderedPageBreak/>
        <w:t xml:space="preserve">warming from </w:t>
      </w:r>
      <w:r>
        <w:rPr>
          <w:i/>
          <w:iCs/>
        </w:rPr>
        <w:t>how fast</w:t>
      </w:r>
      <w:r>
        <w:t xml:space="preserve"> it gets there, and splits the world into three reservoirs on regional temperature.</w:t>
      </w:r>
    </w:p>
    <w:p w14:paraId="2A44DCFA" w14:textId="77777777" w:rsidR="00D80873" w:rsidRDefault="00000000">
      <w:pPr>
        <w:pStyle w:val="BodyText"/>
      </w:pPr>
      <w:r>
        <w:rPr>
          <w:b/>
          <w:bCs/>
        </w:rPr>
        <w:t>SLOWP — RGI regions 03, 09, 07, 06</w:t>
      </w:r>
      <w:r>
        <w:t xml:space="preserve"> (Arctic Canada North, Russian Arctic, Svalbard, Iceland). Large, high-latitude, long relaxation time, and strongly amplified relative to global mean temperature (prior 2.50). This block dominates the glacier contribution in both the hindcast and the projections.</w:t>
      </w:r>
    </w:p>
    <w:p w14:paraId="2EDE2894" w14:textId="77777777" w:rsidR="00D80873" w:rsidRDefault="00000000">
      <w:pPr>
        <w:pStyle w:val="BodyText"/>
      </w:pPr>
      <w:r>
        <w:rPr>
          <w:b/>
          <w:bCs/>
        </w:rPr>
        <w:t>FAST — 13 other RGI regions.</w:t>
      </w:r>
      <w:r>
        <w:t xml:space="preserve"> Smaller, faster-responding bodies with weak amplification (prior 1.45). It equilibrates quickly enough that its committed volume is close to its realised volume through most of the record.</w:t>
      </w:r>
    </w:p>
    <w:p w14:paraId="1BC793BA" w14:textId="77777777" w:rsidR="00D80873" w:rsidRDefault="00000000">
      <w:pPr>
        <w:pStyle w:val="BodyText"/>
      </w:pPr>
      <w:r>
        <w:rPr>
          <w:b/>
          <w:bCs/>
        </w:rPr>
        <w:t>R19 — Antarctic and Subantarctic periphery.</w:t>
      </w:r>
      <w:r>
        <w:t xml:space="preserve"> 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14:paraId="527B17DE" w14:textId="77777777" w:rsidR="00D80873" w:rsidRDefault="00000000">
      <w:pPr>
        <w:pStyle w:val="BodyText"/>
      </w:pPr>
      <w:r>
        <w:rPr>
          <w:b/>
          <w:bCs/>
        </w:rPr>
        <w:t>Compared with BRICK 2.0 and MAGICC.</w:t>
      </w:r>
      <w:r>
        <w:t xml:space="preserve"> BRICK 2.0 and Ladrillo now have completely different glacier modules. MAGICC and Ladrillo both use the formulation from Nauels 2017 Eq. 3; where they differ is the three regions used in Ladrillo. MAGICC's committed 1850 melt is 28–136 mm, Ladrillo's 63–146 mm.</w:t>
      </w:r>
    </w:p>
    <w:p w14:paraId="574F7C8F" w14:textId="77777777" w:rsidR="00D80873" w:rsidRDefault="00000000">
      <w:pPr>
        <w:pStyle w:val="BodyText"/>
      </w:pPr>
      <w:r>
        <w:rPr>
          <w:b/>
          <w:bCs/>
        </w:rPr>
        <w:t>Regrowth potential.</w:t>
      </w:r>
      <w:r>
        <w:t xml:space="preserve"> Neither BRICK nor FACTS can regrow glacial ice, but MAGICC and Ladrillo can. The law is</w:t>
      </w:r>
    </w:p>
    <w:p w14:paraId="1F6A5CC8" w14:textId="77777777" w:rsidR="00D80873" w:rsidRDefault="00000000">
      <w:pPr>
        <w:pStyle w:val="SourceCode"/>
      </w:pPr>
      <w:r>
        <w:rPr>
          <w:rStyle w:val="VerbatimChar"/>
        </w:rPr>
        <w:t xml:space="preserve">S_eq = max( a·(1 − exp(−b·(T − T_off))), 0 )        </w:t>
      </w:r>
      <w:r>
        <w:br/>
      </w:r>
      <w:r>
        <w:rPr>
          <w:rStyle w:val="VerbatimChar"/>
        </w:rPr>
        <w:t xml:space="preserve">dS   = min( κ·|T − T_eq|^ν, 1 ) · (S_eq − S)        </w:t>
      </w:r>
    </w:p>
    <w:p w14:paraId="4E762E89" w14:textId="77777777" w:rsidR="00D80873" w:rsidRDefault="00000000">
      <w:pPr>
        <w:pStyle w:val="FirstParagraph"/>
      </w:pPr>
      <w:r>
        <w:rPr>
          <w:b/>
          <w:bCs/>
        </w:rPr>
        <w:t>Regrowth limits.</w:t>
      </w:r>
      <w:r>
        <w:t xml:space="preserve"> MAGICC assumes that once ice committed to melt in 1850 has gone, it can't be regrown, but ice lost past that point can be. In theory, Ladrillo can regrow up until its 1850 ice extent (though no further), but that would require temperatures to drop below 1850 levels.</w:t>
      </w:r>
    </w:p>
    <w:p w14:paraId="26E41B5B" w14:textId="77777777" w:rsidR="00D80873" w:rsidRDefault="00000000">
      <w:pPr>
        <w:pStyle w:val="Heading3"/>
      </w:pPr>
      <w:bookmarkStart w:id="3" w:name="greenland"/>
      <w:bookmarkEnd w:id="2"/>
      <w:r>
        <w:t>Greenland</w:t>
      </w:r>
    </w:p>
    <w:p w14:paraId="17FA46E1" w14:textId="77777777" w:rsidR="00D80873" w:rsidRDefault="00000000">
      <w:pPr>
        <w:pStyle w:val="FirstParagraph"/>
      </w:pPr>
      <w:r>
        <w:t>BRICK 2.0 treats Greenland as one body with one response channel. Ladrillo replaces that with a two-channel, two-basin sheet.</w:t>
      </w:r>
    </w:p>
    <w:p w14:paraId="777DF0E3" w14:textId="77777777" w:rsidR="00D80873" w:rsidRDefault="00000000">
      <w:pPr>
        <w:pStyle w:val="BodyText"/>
      </w:pPr>
      <w:r>
        <w:rPr>
          <w:b/>
          <w:bCs/>
        </w:rPr>
        <w:t>Two channels (fast / slow).</w:t>
      </w:r>
      <w:r>
        <w:t xml:space="preserve"> 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14:paraId="358F3BC9" w14:textId="77777777" w:rsidR="00D80873" w:rsidRDefault="00000000">
      <w:pPr>
        <w:pStyle w:val="BodyText"/>
      </w:pPr>
      <w:r>
        <w:rPr>
          <w:b/>
          <w:bCs/>
        </w:rPr>
        <w:lastRenderedPageBreak/>
        <w:t>Two basins.</w:t>
      </w:r>
      <w:r>
        <w:t xml:space="preserve"> The sheet is split into an active basin (SW+CW+CE+SE+NW) and a high basin (NO+NE), each carrying its own fast/slow channel pair, with sector shares scored against Mouginot.</w:t>
      </w:r>
    </w:p>
    <w:p w14:paraId="52F56982" w14:textId="77777777" w:rsidR="00D80873" w:rsidRDefault="00000000">
      <w:pPr>
        <w:pStyle w:val="BodyText"/>
      </w:pPr>
      <w:r>
        <w:rPr>
          <w:b/>
          <w:bCs/>
        </w:rPr>
        <w:t>Amplification.</w:t>
      </w:r>
      <w:r>
        <w:t xml:space="preserve"> The ratio of Greenland warming to global warming is itself a function of temperature.</w:t>
      </w:r>
    </w:p>
    <w:p w14:paraId="2BDD71C0" w14:textId="77777777" w:rsidR="00D80873" w:rsidRDefault="00000000">
      <w:pPr>
        <w:pStyle w:val="BodyText"/>
      </w:pPr>
      <w:r>
        <w:rPr>
          <w:b/>
          <w:bCs/>
        </w:rPr>
        <w:t>High-basin volume tap.</w:t>
      </w:r>
      <w:r>
        <w:t xml:space="preserve"> 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14:paraId="69619E33" w14:textId="77777777" w:rsidR="00D80873" w:rsidRDefault="00000000">
      <w:pPr>
        <w:pStyle w:val="BodyText"/>
      </w:pPr>
      <w:r>
        <w:rPr>
          <w:b/>
          <w:bCs/>
        </w:rPr>
        <w:t>Compared with BRICK 2.0 and MAGICC.</w:t>
      </w:r>
      <w:r>
        <w:t xml:space="preserve"> Greenland is the component where the hindcast gain over BRICK 2.0 is largest. MAGICC similarly splits Greenland into SMB and SID and parameterises against SICOPOLIS, but with 17 parameters between the two, of which 9 vary and each of those takes only 4 distinct values.</w:t>
      </w:r>
    </w:p>
    <w:p w14:paraId="60FF075B" w14:textId="77777777" w:rsidR="00D80873" w:rsidRDefault="00000000">
      <w:pPr>
        <w:pStyle w:val="Heading2"/>
      </w:pPr>
      <w:bookmarkStart w:id="4" w:name="ladrillo-calibration-data-updates"/>
      <w:bookmarkEnd w:id="1"/>
      <w:bookmarkEnd w:id="3"/>
      <w:r>
        <w:t>Ladrillo Calibration Data Updates</w:t>
      </w:r>
    </w:p>
    <w:p w14:paraId="32CA1F6D" w14:textId="77777777" w:rsidR="00D80873" w:rsidRDefault="00000000">
      <w:pPr>
        <w:pStyle w:val="FirstParagraph"/>
      </w:pPr>
      <w:r>
        <w:t>Additional or replaced observational inputs, relative to BRICK 2.0:</w:t>
      </w:r>
    </w:p>
    <w:tbl>
      <w:tblPr>
        <w:tblStyle w:val="Table"/>
        <w:tblW w:w="0" w:type="auto"/>
        <w:tblLayout w:type="fixed"/>
        <w:tblLook w:val="0020" w:firstRow="1" w:lastRow="0" w:firstColumn="0" w:lastColumn="0" w:noHBand="0" w:noVBand="0"/>
      </w:tblPr>
      <w:tblGrid>
        <w:gridCol w:w="1818"/>
        <w:gridCol w:w="5220"/>
        <w:gridCol w:w="2538"/>
      </w:tblGrid>
      <w:tr w:rsidR="00D80873" w14:paraId="017A7558" w14:textId="77777777" w:rsidTr="00F941E6">
        <w:trPr>
          <w:cnfStyle w:val="100000000000" w:firstRow="1" w:lastRow="0" w:firstColumn="0" w:lastColumn="0" w:oddVBand="0" w:evenVBand="0" w:oddHBand="0" w:evenHBand="0" w:firstRowFirstColumn="0" w:firstRowLastColumn="0" w:lastRowFirstColumn="0" w:lastRowLastColumn="0"/>
          <w:tblHeader/>
        </w:trPr>
        <w:tc>
          <w:tcPr>
            <w:tcW w:w="1818" w:type="dxa"/>
          </w:tcPr>
          <w:p w14:paraId="0F246B9F" w14:textId="77777777" w:rsidR="00D80873" w:rsidRDefault="00000000">
            <w:pPr>
              <w:pStyle w:val="Compact"/>
            </w:pPr>
            <w:r>
              <w:t>data source</w:t>
            </w:r>
          </w:p>
        </w:tc>
        <w:tc>
          <w:tcPr>
            <w:tcW w:w="5220" w:type="dxa"/>
          </w:tcPr>
          <w:p w14:paraId="03417022" w14:textId="77777777" w:rsidR="00D80873" w:rsidRDefault="00000000">
            <w:pPr>
              <w:pStyle w:val="Compact"/>
            </w:pPr>
            <w:r>
              <w:t>vintage / version as used</w:t>
            </w:r>
          </w:p>
        </w:tc>
        <w:tc>
          <w:tcPr>
            <w:tcW w:w="2538" w:type="dxa"/>
          </w:tcPr>
          <w:p w14:paraId="007772C4" w14:textId="77777777" w:rsidR="00D80873" w:rsidRDefault="00000000">
            <w:pPr>
              <w:pStyle w:val="Compact"/>
            </w:pPr>
            <w:r>
              <w:t>what it constrains</w:t>
            </w:r>
          </w:p>
        </w:tc>
      </w:tr>
      <w:tr w:rsidR="00D80873" w14:paraId="44A7B232" w14:textId="77777777" w:rsidTr="00F941E6">
        <w:tc>
          <w:tcPr>
            <w:tcW w:w="1818" w:type="dxa"/>
          </w:tcPr>
          <w:p w14:paraId="51F4548E" w14:textId="77777777" w:rsidR="00D80873" w:rsidRDefault="00000000">
            <w:pPr>
              <w:pStyle w:val="Compact"/>
            </w:pPr>
            <w:r>
              <w:rPr>
                <w:b/>
                <w:bCs/>
              </w:rPr>
              <w:t>Dangendorf 2024</w:t>
            </w:r>
            <w:r>
              <w:t xml:space="preserve"> GMSL</w:t>
            </w:r>
          </w:p>
        </w:tc>
        <w:tc>
          <w:tcPr>
            <w:tcW w:w="5220" w:type="dxa"/>
          </w:tcPr>
          <w:p w14:paraId="255C9D04" w14:textId="77777777" w:rsidR="00D80873" w:rsidRDefault="00000000">
            <w:pPr>
              <w:pStyle w:val="Compact"/>
            </w:pPr>
            <w:r>
              <w:t xml:space="preserve">Zenodo </w:t>
            </w:r>
            <w:r>
              <w:rPr>
                <w:rStyle w:val="VerbatimChar"/>
              </w:rPr>
              <w:t>10.5281/zenodo.10621070</w:t>
            </w:r>
            <w:r>
              <w:t xml:space="preserve">; GMSL derived from </w:t>
            </w:r>
            <w:r>
              <w:rPr>
                <w:rStyle w:val="VerbatimChar"/>
              </w:rPr>
              <w:t>Fields.nc</w:t>
            </w:r>
            <w:r>
              <w:t xml:space="preserve">, </w:t>
            </w:r>
            <w:r>
              <w:rPr>
                <w:b/>
                <w:bCs/>
              </w:rPr>
              <w:t>not</w:t>
            </w:r>
            <w:r>
              <w:t xml:space="preserve"> the record's </w:t>
            </w:r>
            <w:r>
              <w:rPr>
                <w:rStyle w:val="VerbatimChar"/>
              </w:rPr>
              <w:t>Global.nc</w:t>
            </w:r>
            <w:r>
              <w:t xml:space="preserve"> (mis-written upstream), and validated against a corrected </w:t>
            </w:r>
            <w:r>
              <w:rPr>
                <w:rStyle w:val="VerbatimChar"/>
              </w:rPr>
              <w:t>_v2.nc</w:t>
            </w:r>
            <w:r>
              <w:t xml:space="preserve"> supplied by S. Dangendorf, pers. comm. 2026-08-07</w:t>
            </w:r>
          </w:p>
        </w:tc>
        <w:tc>
          <w:tcPr>
            <w:tcW w:w="2538" w:type="dxa"/>
          </w:tcPr>
          <w:p w14:paraId="6D006ECD" w14:textId="77777777" w:rsidR="00D80873" w:rsidRDefault="00000000">
            <w:pPr>
              <w:pStyle w:val="Compact"/>
            </w:pPr>
            <w:r>
              <w:t>The total, replacing the previous GMSL reconstruction.</w:t>
            </w:r>
          </w:p>
        </w:tc>
      </w:tr>
      <w:tr w:rsidR="00D80873" w14:paraId="40290F5B" w14:textId="77777777" w:rsidTr="00F941E6">
        <w:tc>
          <w:tcPr>
            <w:tcW w:w="1818" w:type="dxa"/>
          </w:tcPr>
          <w:p w14:paraId="706C0E70" w14:textId="77777777" w:rsidR="00D80873" w:rsidRDefault="00000000">
            <w:pPr>
              <w:pStyle w:val="Compact"/>
            </w:pPr>
            <w:r>
              <w:rPr>
                <w:b/>
                <w:bCs/>
              </w:rPr>
              <w:t>GlaMBIE</w:t>
            </w:r>
            <w:r>
              <w:t xml:space="preserve"> glacier series (2019 onward)</w:t>
            </w:r>
          </w:p>
        </w:tc>
        <w:tc>
          <w:tcPr>
            <w:tcW w:w="5220" w:type="dxa"/>
          </w:tcPr>
          <w:p w14:paraId="7C72DC90" w14:textId="77777777" w:rsidR="00D80873" w:rsidRDefault="00000000">
            <w:pPr>
              <w:pStyle w:val="Compact"/>
            </w:pPr>
            <w:r>
              <w:t xml:space="preserve">Dataset </w:t>
            </w:r>
            <w:r>
              <w:rPr>
                <w:b/>
                <w:bCs/>
              </w:rPr>
              <w:t>1.0.0</w:t>
            </w:r>
            <w:r>
              <w:t xml:space="preserve">, DOI </w:t>
            </w:r>
            <w:r>
              <w:rPr>
                <w:rStyle w:val="VerbatimChar"/>
              </w:rPr>
              <w:t>10.5904/wgms-glambie-2024-07</w:t>
            </w:r>
            <w:r>
              <w:t xml:space="preserve">; acquired 2026-06-13; paper </w:t>
            </w:r>
            <w:r>
              <w:rPr>
                <w:rStyle w:val="VerbatimChar"/>
              </w:rPr>
              <w:t>10.1038/s41586-024-08545-z</w:t>
            </w:r>
          </w:p>
        </w:tc>
        <w:tc>
          <w:tcPr>
            <w:tcW w:w="2538" w:type="dxa"/>
          </w:tcPr>
          <w:p w14:paraId="5D848682" w14:textId="77777777" w:rsidR="00D80873" w:rsidRDefault="00000000">
            <w:pPr>
              <w:pStyle w:val="Compact"/>
            </w:pPr>
            <w:r>
              <w:t>The modern glacier rate, spliced onto Frederikse. It includes Antarctic-periphery melt where Frederikse excludes it, which is why R19 is a separate block.</w:t>
            </w:r>
          </w:p>
        </w:tc>
      </w:tr>
      <w:tr w:rsidR="00D80873" w14:paraId="43B5B618" w14:textId="77777777" w:rsidTr="00F941E6">
        <w:tc>
          <w:tcPr>
            <w:tcW w:w="1818" w:type="dxa"/>
          </w:tcPr>
          <w:p w14:paraId="023EDFA4" w14:textId="77777777" w:rsidR="00D80873" w:rsidRDefault="00000000">
            <w:pPr>
              <w:pStyle w:val="Compact"/>
            </w:pPr>
            <w:r>
              <w:rPr>
                <w:b/>
                <w:bCs/>
              </w:rPr>
              <w:t>JPL GRACE / GRACE-FO mascons</w:t>
            </w:r>
          </w:p>
        </w:tc>
        <w:tc>
          <w:tcPr>
            <w:tcW w:w="5220" w:type="dxa"/>
          </w:tcPr>
          <w:p w14:paraId="4116584A" w14:textId="77777777" w:rsidR="00D80873" w:rsidRDefault="00000000">
            <w:pPr>
              <w:pStyle w:val="Compact"/>
            </w:pPr>
            <w:r>
              <w:t xml:space="preserve">Release </w:t>
            </w:r>
            <w:r>
              <w:rPr>
                <w:b/>
                <w:bCs/>
              </w:rPr>
              <w:t>RL06.3Mv04 CRI</w:t>
            </w:r>
            <w:r>
              <w:t xml:space="preserve">, DOI </w:t>
            </w:r>
            <w:r>
              <w:rPr>
                <w:rStyle w:val="VerbatimChar"/>
              </w:rPr>
              <w:t>10.5067/TEMSC-3JC634</w:t>
            </w:r>
            <w:r>
              <w:t xml:space="preserve">, granule </w:t>
            </w:r>
            <w:r>
              <w:rPr>
                <w:rStyle w:val="VerbatimChar"/>
              </w:rPr>
              <w:t>200204_202606</w:t>
            </w:r>
          </w:p>
        </w:tc>
        <w:tc>
          <w:tcPr>
            <w:tcW w:w="2538" w:type="dxa"/>
          </w:tcPr>
          <w:p w14:paraId="1145F431" w14:textId="77777777" w:rsidR="00D80873" w:rsidRDefault="00000000">
            <w:pPr>
              <w:pStyle w:val="Compact"/>
            </w:pPr>
            <w:r>
              <w:t xml:space="preserve">Land-water storage. </w:t>
            </w:r>
            <w:r>
              <w:rPr>
                <w:b/>
                <w:bCs/>
              </w:rPr>
              <w:t>Real data run 2019–2023</w:t>
            </w:r>
            <w:r>
              <w:t xml:space="preserve">; 2024 is held flat from 2023 (GlaMBIE, which is subtracted, ends 2023) and 2025–2026 are blank. The closure σ </w:t>
            </w:r>
            <w:r>
              <w:rPr>
                <w:i/>
                <w:iCs/>
              </w:rPr>
              <w:t>is</w:t>
            </w:r>
            <w:r>
              <w:t xml:space="preserve"> trend-</w:t>
            </w:r>
            <w:r>
              <w:lastRenderedPageBreak/>
              <w:t>extended to the file horizon — the data are not.</w:t>
            </w:r>
          </w:p>
        </w:tc>
      </w:tr>
      <w:tr w:rsidR="00D80873" w14:paraId="10BA8752" w14:textId="77777777" w:rsidTr="00F941E6">
        <w:tc>
          <w:tcPr>
            <w:tcW w:w="1818" w:type="dxa"/>
          </w:tcPr>
          <w:p w14:paraId="2D179CB3" w14:textId="77777777" w:rsidR="00D80873" w:rsidRDefault="00000000">
            <w:pPr>
              <w:pStyle w:val="Compact"/>
            </w:pPr>
            <w:r>
              <w:rPr>
                <w:b/>
                <w:bCs/>
              </w:rPr>
              <w:lastRenderedPageBreak/>
              <w:t>Mouginot</w:t>
            </w:r>
            <w:r>
              <w:t xml:space="preserve"> Greenland sector shares</w:t>
            </w:r>
          </w:p>
        </w:tc>
        <w:tc>
          <w:tcPr>
            <w:tcW w:w="5220" w:type="dxa"/>
          </w:tcPr>
          <w:p w14:paraId="7DE33AAB" w14:textId="77777777" w:rsidR="00D80873" w:rsidRDefault="00000000">
            <w:pPr>
              <w:pStyle w:val="Compact"/>
            </w:pPr>
            <w:r>
              <w:rPr>
                <w:rStyle w:val="VerbatimChar"/>
              </w:rPr>
              <w:t>10.1073/pnas.1904242116</w:t>
            </w:r>
            <w:r>
              <w:t>, Supplementary Dataset S2 (</w:t>
            </w:r>
            <w:r>
              <w:rPr>
                <w:rStyle w:val="VerbatimChar"/>
              </w:rPr>
              <w:t>pnas.1904242116.sd02.xlsx</w:t>
            </w:r>
            <w:r>
              <w:t>, sheet "(2) MB_GIS"). No dataset version is published</w:t>
            </w:r>
          </w:p>
        </w:tc>
        <w:tc>
          <w:tcPr>
            <w:tcW w:w="2538" w:type="dxa"/>
          </w:tcPr>
          <w:p w14:paraId="114EA271" w14:textId="77777777" w:rsidR="00D80873" w:rsidRDefault="00000000">
            <w:pPr>
              <w:pStyle w:val="Compact"/>
            </w:pPr>
            <w:r>
              <w:t>The basin split, as a shares term rather than a level.</w:t>
            </w:r>
          </w:p>
        </w:tc>
      </w:tr>
      <w:tr w:rsidR="00D80873" w14:paraId="07876F0D" w14:textId="77777777" w:rsidTr="00F941E6">
        <w:tc>
          <w:tcPr>
            <w:tcW w:w="1818" w:type="dxa"/>
          </w:tcPr>
          <w:p w14:paraId="5EE60617" w14:textId="77777777" w:rsidR="00D80873" w:rsidRDefault="00000000">
            <w:pPr>
              <w:pStyle w:val="Compact"/>
            </w:pPr>
            <w:r>
              <w:rPr>
                <w:b/>
                <w:bCs/>
              </w:rPr>
              <w:t>Rignot 2019</w:t>
            </w:r>
            <w:r>
              <w:t xml:space="preserve"> Antarctic SMB, area-corrected ×0.888</w:t>
            </w:r>
          </w:p>
        </w:tc>
        <w:tc>
          <w:tcPr>
            <w:tcW w:w="5220" w:type="dxa"/>
          </w:tcPr>
          <w:p w14:paraId="39848E20" w14:textId="77777777" w:rsidR="00D80873" w:rsidRDefault="00000000">
            <w:pPr>
              <w:pStyle w:val="Compact"/>
            </w:pPr>
            <w:r>
              <w:rPr>
                <w:i/>
                <w:iCs/>
              </w:rPr>
              <w:t>PNAS</w:t>
            </w:r>
            <w:r>
              <w:t xml:space="preserve"> 116:1095; 2098 ± 133 Gt/yr over the 1979–2008 climatology. </w:t>
            </w:r>
            <w:r>
              <w:rPr>
                <w:b/>
                <w:bCs/>
              </w:rPr>
              <w:t>No DOI or dataset version is recorded</w:t>
            </w:r>
            <w:r>
              <w:t xml:space="preserve"> — the values enter as typed constants, not a data file</w:t>
            </w:r>
          </w:p>
        </w:tc>
        <w:tc>
          <w:tcPr>
            <w:tcW w:w="2538" w:type="dxa"/>
          </w:tcPr>
          <w:p w14:paraId="2D4D3F70" w14:textId="77777777" w:rsidR="00D80873" w:rsidRDefault="00000000">
            <w:pPr>
              <w:pStyle w:val="Compact"/>
            </w:pPr>
            <w:r>
              <w:t>The absolute Antarctic flux scale. SMB minus discharge is well constrained at −145 ± 15 Gt/yr but each flux individually has high uncertainty (±505/±509), so Rignot anchors the pair.</w:t>
            </w:r>
          </w:p>
        </w:tc>
      </w:tr>
      <w:tr w:rsidR="00D80873" w14:paraId="24982016" w14:textId="77777777" w:rsidTr="00F941E6">
        <w:tc>
          <w:tcPr>
            <w:tcW w:w="1818" w:type="dxa"/>
          </w:tcPr>
          <w:p w14:paraId="71BC0483" w14:textId="77777777" w:rsidR="00D80873" w:rsidRDefault="00000000">
            <w:pPr>
              <w:pStyle w:val="Compact"/>
            </w:pPr>
            <w:r>
              <w:rPr>
                <w:b/>
                <w:bCs/>
              </w:rPr>
              <w:t>Glacier inventory</w:t>
            </w:r>
            <w:r>
              <w:t xml:space="preserve"> likelihood + a 19th-century flow constraint, </w:t>
            </w:r>
            <w:r>
              <w:rPr>
                <w:rStyle w:val="VerbatimChar"/>
              </w:rPr>
              <w:t>S(1900) − S(1850) ~ N(0.020, 0.009)</w:t>
            </w:r>
            <w:r>
              <w:t xml:space="preserve"> m SLE</w:t>
            </w:r>
          </w:p>
        </w:tc>
        <w:tc>
          <w:tcPr>
            <w:tcW w:w="5220" w:type="dxa"/>
          </w:tcPr>
          <w:p w14:paraId="5505F7AC" w14:textId="77777777" w:rsidR="00D80873" w:rsidRDefault="00000000">
            <w:pPr>
              <w:pStyle w:val="Compact"/>
            </w:pPr>
            <w:r>
              <w:t>Inventory: Farinotti 2019 (</w:t>
            </w:r>
            <w:r>
              <w:rPr>
                <w:i/>
                <w:iCs/>
              </w:rPr>
              <w:t>Nat. Geosci.</w:t>
            </w:r>
            <w:r>
              <w:t xml:space="preserve"> 12:168) reconciled per Hock 2023, at the RGI ~2000 outline epoch — </w:t>
            </w:r>
            <w:r>
              <w:rPr>
                <w:b/>
                <w:bCs/>
              </w:rPr>
              <w:t>no DOI or archive version recorded</w:t>
            </w:r>
            <w:r>
              <w:t xml:space="preserve">; region polygons GTN-G Glacier Regions </w:t>
            </w:r>
            <w:r>
              <w:rPr>
                <w:b/>
                <w:bCs/>
              </w:rPr>
              <w:t>2023</w:t>
            </w:r>
            <w:r>
              <w:t xml:space="preserve">, DOI </w:t>
            </w:r>
            <w:r>
              <w:rPr>
                <w:rStyle w:val="VerbatimChar"/>
              </w:rPr>
              <w:t>10.5904/gtng-glacreg-2023-07</w:t>
            </w:r>
            <w:r>
              <w:t xml:space="preserve">, on the </w:t>
            </w:r>
            <w:r>
              <w:rPr>
                <w:b/>
                <w:bCs/>
              </w:rPr>
              <w:t>RGI6</w:t>
            </w:r>
            <w:r>
              <w:t xml:space="preserve"> scheme. 19th-c flow: Leclercq/Oerlemans/Cogley 2011, DOI </w:t>
            </w:r>
            <w:r>
              <w:rPr>
                <w:rStyle w:val="VerbatimChar"/>
              </w:rPr>
              <w:t>10.1007/s10712-011-9121-7</w:t>
            </w:r>
          </w:p>
        </w:tc>
        <w:tc>
          <w:tcPr>
            <w:tcW w:w="2538" w:type="dxa"/>
          </w:tcPr>
          <w:p w14:paraId="60FB527B" w14:textId="77777777" w:rsidR="00D80873" w:rsidRDefault="00000000">
            <w:pPr>
              <w:pStyle w:val="Compact"/>
            </w:pPr>
            <w:r>
              <w:t>The absolute inventory and the pre-observational flow, neither of which the 20th-century transient identifies on its own.</w:t>
            </w:r>
          </w:p>
        </w:tc>
      </w:tr>
      <w:tr w:rsidR="00D80873" w14:paraId="03679DE3" w14:textId="77777777" w:rsidTr="00F941E6">
        <w:tc>
          <w:tcPr>
            <w:tcW w:w="1818" w:type="dxa"/>
          </w:tcPr>
          <w:p w14:paraId="7B13B8F1" w14:textId="77777777" w:rsidR="00D80873" w:rsidRDefault="00000000">
            <w:pPr>
              <w:pStyle w:val="Compact"/>
            </w:pPr>
            <w:r>
              <w:rPr>
                <w:b/>
                <w:bCs/>
              </w:rPr>
              <w:t>CMIP6 regional amplification</w:t>
            </w:r>
            <w:r>
              <w:t xml:space="preserve"> (34–41 models)</w:t>
            </w:r>
          </w:p>
        </w:tc>
        <w:tc>
          <w:tcPr>
            <w:tcW w:w="5220" w:type="dxa"/>
          </w:tcPr>
          <w:p w14:paraId="3EAAE44C" w14:textId="77777777" w:rsidR="00D80873" w:rsidRDefault="00000000">
            <w:pPr>
              <w:pStyle w:val="Compact"/>
            </w:pPr>
            <w:r>
              <w:t xml:space="preserve">Streamed from the live Pangeo/Google-Cloud CMIP6 zarr catalogue. </w:t>
            </w:r>
            <w:r>
              <w:rPr>
                <w:b/>
                <w:bCs/>
              </w:rPr>
              <w:t>No catalogue snapshot date and no per-model ESGF dataset versions are recorded</w:t>
            </w:r>
            <w:r>
              <w:t>; what is pinned is the member ID per model, a fixed 40-model panel so a drifted catalogue cannot swap the ensemble, and a git commit hash in the derived priors</w:t>
            </w:r>
          </w:p>
        </w:tc>
        <w:tc>
          <w:tcPr>
            <w:tcW w:w="2538" w:type="dxa"/>
          </w:tcPr>
          <w:p w14:paraId="3D04FCEB" w14:textId="77777777" w:rsidR="00D80873" w:rsidRDefault="00000000">
            <w:pPr>
              <w:pStyle w:val="Compact"/>
            </w:pPr>
            <w:r>
              <w:t>Priors on the per-block glacier amplification and on Antarctic amplification.</w:t>
            </w:r>
          </w:p>
        </w:tc>
      </w:tr>
      <w:tr w:rsidR="00D80873" w14:paraId="2593F41B" w14:textId="77777777" w:rsidTr="00F941E6">
        <w:tc>
          <w:tcPr>
            <w:tcW w:w="1818" w:type="dxa"/>
          </w:tcPr>
          <w:p w14:paraId="3920D120" w14:textId="77777777" w:rsidR="00D80873" w:rsidRDefault="00000000">
            <w:pPr>
              <w:pStyle w:val="Compact"/>
            </w:pPr>
            <w:r>
              <w:rPr>
                <w:b/>
                <w:bCs/>
              </w:rPr>
              <w:t>Paleo constraints</w:t>
            </w:r>
            <w:r>
              <w:t xml:space="preserve"> on DAIS geometry, in a standardised correlation form</w:t>
            </w:r>
          </w:p>
        </w:tc>
        <w:tc>
          <w:tcPr>
            <w:tcW w:w="5220" w:type="dxa"/>
          </w:tcPr>
          <w:p w14:paraId="3B03934A" w14:textId="77777777" w:rsidR="00D80873" w:rsidRDefault="00000000">
            <w:pPr>
              <w:pStyle w:val="Compact"/>
            </w:pPr>
            <w:r>
              <w:rPr>
                <w:rStyle w:val="VerbatimChar"/>
              </w:rPr>
              <w:t>DAISfastdyn_calibratedParameters_gamma_29Jan2017.nc</w:t>
            </w:r>
            <w:r>
              <w:t xml:space="preserve"> (sha256[:16] </w:t>
            </w:r>
            <w:r>
              <w:rPr>
                <w:rStyle w:val="VerbatimChar"/>
              </w:rPr>
              <w:t>0b53b45e2422563b</w:t>
            </w:r>
            <w:r>
              <w:t>), the 16-parameter / 800,000-member ensemble shipped with MimiBRICK; extracted 2026-08-24</w:t>
            </w:r>
          </w:p>
        </w:tc>
        <w:tc>
          <w:tcPr>
            <w:tcW w:w="2538" w:type="dxa"/>
          </w:tcPr>
          <w:p w14:paraId="13364F7C" w14:textId="77777777" w:rsidR="00D80873" w:rsidRDefault="00000000">
            <w:pPr>
              <w:pStyle w:val="Compact"/>
            </w:pPr>
            <w:r>
              <w:t>The seven freed geometry parameters (below).</w:t>
            </w:r>
          </w:p>
        </w:tc>
      </w:tr>
      <w:tr w:rsidR="00D80873" w14:paraId="0BE44792" w14:textId="77777777" w:rsidTr="00F941E6">
        <w:tc>
          <w:tcPr>
            <w:tcW w:w="1818" w:type="dxa"/>
          </w:tcPr>
          <w:p w14:paraId="38088228" w14:textId="77777777" w:rsidR="00D80873" w:rsidRDefault="00000000">
            <w:pPr>
              <w:pStyle w:val="Compact"/>
            </w:pPr>
            <w:r>
              <w:rPr>
                <w:i/>
                <w:iCs/>
              </w:rPr>
              <w:t xml:space="preserve">(not a </w:t>
            </w:r>
            <w:r>
              <w:rPr>
                <w:i/>
                <w:iCs/>
              </w:rPr>
              <w:lastRenderedPageBreak/>
              <w:t>calibration target)</w:t>
            </w:r>
            <w:r>
              <w:t xml:space="preserve"> </w:t>
            </w:r>
            <w:r>
              <w:rPr>
                <w:b/>
                <w:bCs/>
              </w:rPr>
              <w:t>IGCC 2025-indicators</w:t>
            </w:r>
            <w:r>
              <w:t xml:space="preserve"> GMSL</w:t>
            </w:r>
          </w:p>
        </w:tc>
        <w:tc>
          <w:tcPr>
            <w:tcW w:w="5220" w:type="dxa"/>
          </w:tcPr>
          <w:p w14:paraId="397603E9" w14:textId="77777777" w:rsidR="00D80873" w:rsidRDefault="00000000">
            <w:pPr>
              <w:pStyle w:val="Compact"/>
            </w:pPr>
            <w:r>
              <w:lastRenderedPageBreak/>
              <w:t xml:space="preserve">Tag </w:t>
            </w:r>
            <w:r>
              <w:rPr>
                <w:rStyle w:val="VerbatimChar"/>
              </w:rPr>
              <w:t>v2026.06.02</w:t>
            </w:r>
            <w:r>
              <w:t xml:space="preserve">, data DOI </w:t>
            </w:r>
            <w:r>
              <w:rPr>
                <w:rStyle w:val="VerbatimChar"/>
              </w:rPr>
              <w:lastRenderedPageBreak/>
              <w:t>10.5281/zenodo.20499280</w:t>
            </w:r>
            <w:r>
              <w:t xml:space="preserve">, md5 </w:t>
            </w:r>
            <w:r>
              <w:rPr>
                <w:rStyle w:val="VerbatimChar"/>
              </w:rPr>
              <w:t>8ae5ac0041e26351b9f497f969bd0dab</w:t>
            </w:r>
            <w:r>
              <w:t xml:space="preserve">; paper Forster et al. 2026, </w:t>
            </w:r>
            <w:r>
              <w:rPr>
                <w:rStyle w:val="VerbatimChar"/>
              </w:rPr>
              <w:t>10.5194/essd-18-3889-2026</w:t>
            </w:r>
          </w:p>
        </w:tc>
        <w:tc>
          <w:tcPr>
            <w:tcW w:w="2538" w:type="dxa"/>
          </w:tcPr>
          <w:p w14:paraId="7F80D124" w14:textId="77777777" w:rsidR="00D80873" w:rsidRDefault="00000000">
            <w:pPr>
              <w:pStyle w:val="Compact"/>
            </w:pPr>
            <w:r>
              <w:lastRenderedPageBreak/>
              <w:t xml:space="preserve">Shown on FIG 1 as an </w:t>
            </w:r>
            <w:r>
              <w:rPr>
                <w:b/>
                <w:bCs/>
              </w:rPr>
              <w:lastRenderedPageBreak/>
              <w:t>independent</w:t>
            </w:r>
            <w:r>
              <w:t xml:space="preserve"> consensus check on the total. It is </w:t>
            </w:r>
            <w:r>
              <w:rPr>
                <w:i/>
                <w:iCs/>
              </w:rPr>
              <w:t>not</w:t>
            </w:r>
            <w:r>
              <w:t xml:space="preserve"> fitted; the fitted total is Dangendorf 2024.</w:t>
            </w:r>
          </w:p>
        </w:tc>
      </w:tr>
    </w:tbl>
    <w:p w14:paraId="4F9A5852" w14:textId="77777777" w:rsidR="00D80873" w:rsidRDefault="00000000">
      <w:pPr>
        <w:pStyle w:val="BodyText"/>
      </w:pPr>
      <w:r>
        <w:lastRenderedPageBreak/>
        <w:t>Where a cell says a version is not recorded, that is the actual state of the provenance, not an omission from this table: those sources enter the calibration as typed constants or as a live catalogue query, and no version string exists in the repository to cite.</w:t>
      </w:r>
    </w:p>
    <w:p w14:paraId="6F3B290A" w14:textId="77777777" w:rsidR="00D80873" w:rsidRDefault="00000000">
      <w:pPr>
        <w:pStyle w:val="BodyText"/>
      </w:pPr>
      <w:r>
        <w:rPr>
          <w:b/>
          <w:bCs/>
        </w:rPr>
        <w:t>Deliberately removed: IMBIE</w:t>
      </w:r>
      <w:r>
        <w:t>, dropped from the Antarctic likelihood to avoid double-weighting the same mass-balance information already entering through other terms.</w:t>
      </w:r>
    </w:p>
    <w:p w14:paraId="4BA24A03" w14:textId="77777777" w:rsidR="00D80873" w:rsidRDefault="00000000">
      <w:pPr>
        <w:pStyle w:val="BodyText"/>
      </w:pPr>
      <w:r>
        <w:rPr>
          <w:b/>
          <w:bCs/>
        </w:rPr>
        <w:t>Forcing.</w:t>
      </w:r>
      <w:r>
        <w:t xml:space="preserve"> </w:t>
      </w:r>
      <w:r>
        <w:rPr>
          <w:b/>
          <w:bCs/>
        </w:rPr>
        <w:t>FaIR 2.2.4 (fair-calibrate 1.6.0)</w:t>
      </w:r>
      <w:r>
        <w:t>,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14:paraId="2BFE25CA" w14:textId="77777777" w:rsidR="00D80873" w:rsidRDefault="00000000">
      <w:pPr>
        <w:pStyle w:val="BodyText"/>
      </w:pPr>
      <w:r>
        <w:rPr>
          <w:b/>
          <w:bCs/>
        </w:rPr>
        <w:t>Sampler.</w:t>
      </w:r>
      <w:r>
        <w:t xml:space="preserve"> Over-dispersed chain starts.</w:t>
      </w:r>
    </w:p>
    <w:p w14:paraId="4FFC81E9" w14:textId="77777777" w:rsidR="00D80873" w:rsidRDefault="00000000">
      <w:pPr>
        <w:pStyle w:val="Heading2"/>
      </w:pPr>
      <w:bookmarkStart w:id="5" w:name="ladrillo-calibration-approach-updates"/>
      <w:bookmarkEnd w:id="4"/>
      <w:r>
        <w:t>Ladrillo Calibration Approach Updates</w:t>
      </w:r>
    </w:p>
    <w:p w14:paraId="2510A515" w14:textId="77777777" w:rsidR="00D80873" w:rsidRDefault="00000000">
      <w:pPr>
        <w:pStyle w:val="FirstParagraph"/>
      </w:pPr>
      <w:r>
        <w:rPr>
          <w:b/>
          <w:bCs/>
        </w:rPr>
        <w:t>58 parameters are sampled</w:t>
      </w:r>
      <w:r>
        <w:t>: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14:paraId="0A99DD84" w14:textId="77777777" w:rsidR="00D80873" w:rsidRDefault="00000000">
      <w:pPr>
        <w:pStyle w:val="BodyText"/>
      </w:pPr>
      <w:r>
        <w:rPr>
          <w:b/>
          <w:bCs/>
        </w:rPr>
        <w:t>The seven DAIS geometry parameters</w:t>
      </w:r>
      <w:r>
        <w:t xml:space="preserve">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14:paraId="4BD3BDFC" w14:textId="77777777" w:rsidR="00D80873"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hR = h0 + c·T_ant</w:t>
      </w:r>
      <w:r>
        <w:t xml:space="preserve"> with a correlation ridge. Ladrillo samples </w:t>
      </w:r>
      <w:r>
        <w:rPr>
          <w:rStyle w:val="VerbatimChar"/>
        </w:rPr>
        <w:t>T_on = −h0/c</w:t>
      </w:r>
      <w:r>
        <w:t>, the runoff onset temperature, which is what the data constrain.</w:t>
      </w:r>
    </w:p>
    <w:p w14:paraId="152C4CC2" w14:textId="77777777" w:rsidR="00D80873" w:rsidRDefault="00000000">
      <w:pPr>
        <w:pStyle w:val="BodyText"/>
      </w:pPr>
      <w:r>
        <w:rPr>
          <w:b/>
          <w:bCs/>
        </w:rPr>
        <w:t>Antarctic amplification is a key parameter.</w:t>
      </w:r>
      <w:r>
        <w:t xml:space="preserve"> 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w:t>
      </w:r>
      <w:r>
        <w:lastRenderedPageBreak/>
        <w:t>cm on SSP5-8.5 (under 5%), because by SSP5-8.5 the Antarctic response is already past the thresholds where amplification matters.</w:t>
      </w:r>
    </w:p>
    <w:p w14:paraId="5F896AA4" w14:textId="77777777" w:rsidR="00D80873" w:rsidRDefault="00000000">
      <w:pPr>
        <w:pStyle w:val="BodyText"/>
      </w:pPr>
      <w:r>
        <w:rPr>
          <w:b/>
          <w:bCs/>
        </w:rPr>
        <w:t>Criterion matching.</w:t>
      </w:r>
      <w:r>
        <w:t xml:space="preserve"> 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p w14:paraId="35CD1050" w14:textId="77777777" w:rsidR="00D80873" w:rsidRDefault="00000000">
      <w:pPr>
        <w:pStyle w:val="Heading2"/>
      </w:pPr>
      <w:bookmarkStart w:id="6" w:name="ladrillo-observational-comparison"/>
      <w:bookmarkEnd w:id="5"/>
      <w:r>
        <w:t>Ladrillo Observational Comparison</w:t>
      </w:r>
    </w:p>
    <w:p w14:paraId="16F794C6" w14:textId="77777777" w:rsidR="00D80873" w:rsidRDefault="00000000">
      <w:pPr>
        <w:pStyle w:val="FirstParagraph"/>
      </w:pPr>
      <w:r>
        <w:rPr>
          <w:noProof/>
        </w:rPr>
        <w:drawing>
          <wp:inline distT="0" distB="0" distL="0" distR="0" wp14:anchorId="3FEAB125" wp14:editId="299AB522">
            <wp:extent cx="5334000" cy="3234812"/>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3234812"/>
                    </a:xfrm>
                    <a:prstGeom prst="rect">
                      <a:avLst/>
                    </a:prstGeom>
                    <a:noFill/>
                    <a:ln w="9525">
                      <a:noFill/>
                      <a:headEnd/>
                      <a:tailEnd/>
                    </a:ln>
                  </pic:spPr>
                </pic:pic>
              </a:graphicData>
            </a:graphic>
          </wp:inline>
        </w:drawing>
      </w:r>
    </w:p>
    <w:p w14:paraId="33131CE3" w14:textId="466E1F3F" w:rsidR="00D80873" w:rsidRDefault="00000000">
      <w:pPr>
        <w:pStyle w:val="BodyText"/>
      </w:pPr>
      <w:r>
        <w:rPr>
          <w:b/>
          <w:bCs/>
        </w:rPr>
        <w:t>FIG 1.</w:t>
      </w:r>
      <w:r>
        <w:t xml:space="preserve"> Component hindcasts, 1900–2026, against the calibration targets, cm </w:t>
      </w:r>
      <w:r w:rsidR="00F941E6">
        <w:t>baselined</w:t>
      </w:r>
      <w:r>
        <w:t xml:space="preserve"> to 1995–2005. Both Ladrillo and BRICK 2.0 are integrated from 1850 and plotted from 1900. The total panel also carries IGCC 2025-indicators GMSL (tag </w:t>
      </w:r>
      <w:r>
        <w:rPr>
          <w:rStyle w:val="VerbatimChar"/>
        </w:rPr>
        <w:t>v2026.06.02</w:t>
      </w:r>
      <w:r>
        <w:t>) as an independent consensus check; it is not a calibration target.</w:t>
      </w:r>
    </w:p>
    <w:p w14:paraId="7F4809B3" w14:textId="77777777" w:rsidR="00D80873" w:rsidRDefault="00000000">
      <w:pPr>
        <w:pStyle w:val="BodyText"/>
      </w:pPr>
      <w:r>
        <w:t xml:space="preserve">RMSE ratio against BRICK 2.0 — </w:t>
      </w:r>
      <w:r>
        <w:rPr>
          <w:b/>
          <w:bCs/>
        </w:rPr>
        <w:t>below 1 means Ladrillo is closer to the observations</w:t>
      </w:r>
      <w:r>
        <w:t>:</w:t>
      </w:r>
    </w:p>
    <w:tbl>
      <w:tblPr>
        <w:tblStyle w:val="Table"/>
        <w:tblW w:w="0" w:type="auto"/>
        <w:tblLook w:val="0020" w:firstRow="1" w:lastRow="0" w:firstColumn="0" w:lastColumn="0" w:noHBand="0" w:noVBand="0"/>
      </w:tblPr>
      <w:tblGrid>
        <w:gridCol w:w="2180"/>
        <w:gridCol w:w="1353"/>
        <w:gridCol w:w="1353"/>
        <w:gridCol w:w="1353"/>
        <w:gridCol w:w="1353"/>
        <w:gridCol w:w="801"/>
      </w:tblGrid>
      <w:tr w:rsidR="00D80873" w14:paraId="5289B06B" w14:textId="77777777" w:rsidTr="00D80873">
        <w:trPr>
          <w:cnfStyle w:val="100000000000" w:firstRow="1" w:lastRow="0" w:firstColumn="0" w:lastColumn="0" w:oddVBand="0" w:evenVBand="0" w:oddHBand="0" w:evenHBand="0" w:firstRowFirstColumn="0" w:firstRowLastColumn="0" w:lastRowFirstColumn="0" w:lastRowLastColumn="0"/>
          <w:tblHeader/>
        </w:trPr>
        <w:tc>
          <w:tcPr>
            <w:tcW w:w="0" w:type="auto"/>
          </w:tcPr>
          <w:p w14:paraId="09A9250C" w14:textId="77777777" w:rsidR="00D80873" w:rsidRDefault="00000000">
            <w:pPr>
              <w:pStyle w:val="Compact"/>
            </w:pPr>
            <w:r>
              <w:t>component</w:t>
            </w:r>
          </w:p>
        </w:tc>
        <w:tc>
          <w:tcPr>
            <w:tcW w:w="0" w:type="auto"/>
          </w:tcPr>
          <w:p w14:paraId="38FEEAFE" w14:textId="77777777" w:rsidR="00D80873" w:rsidRDefault="00000000">
            <w:pPr>
              <w:pStyle w:val="Compact"/>
            </w:pPr>
            <w:r>
              <w:t>1900–1919</w:t>
            </w:r>
          </w:p>
        </w:tc>
        <w:tc>
          <w:tcPr>
            <w:tcW w:w="0" w:type="auto"/>
          </w:tcPr>
          <w:p w14:paraId="2689DD81" w14:textId="77777777" w:rsidR="00D80873" w:rsidRDefault="00000000">
            <w:pPr>
              <w:pStyle w:val="Compact"/>
            </w:pPr>
            <w:r>
              <w:t>1920–1949</w:t>
            </w:r>
          </w:p>
        </w:tc>
        <w:tc>
          <w:tcPr>
            <w:tcW w:w="0" w:type="auto"/>
          </w:tcPr>
          <w:p w14:paraId="12035F6E" w14:textId="77777777" w:rsidR="00D80873" w:rsidRDefault="00000000">
            <w:pPr>
              <w:pStyle w:val="Compact"/>
            </w:pPr>
            <w:r>
              <w:t>1950–1992</w:t>
            </w:r>
          </w:p>
        </w:tc>
        <w:tc>
          <w:tcPr>
            <w:tcW w:w="0" w:type="auto"/>
          </w:tcPr>
          <w:p w14:paraId="2670AFF7" w14:textId="77777777" w:rsidR="00D80873" w:rsidRDefault="00000000">
            <w:pPr>
              <w:pStyle w:val="Compact"/>
            </w:pPr>
            <w:r>
              <w:t>1993–2026</w:t>
            </w:r>
          </w:p>
        </w:tc>
        <w:tc>
          <w:tcPr>
            <w:tcW w:w="0" w:type="auto"/>
          </w:tcPr>
          <w:p w14:paraId="4C1B68A0" w14:textId="77777777" w:rsidR="00D80873" w:rsidRDefault="00000000">
            <w:pPr>
              <w:pStyle w:val="Compact"/>
            </w:pPr>
            <w:r>
              <w:t>full</w:t>
            </w:r>
          </w:p>
        </w:tc>
      </w:tr>
      <w:tr w:rsidR="00D80873" w14:paraId="2C9299AD" w14:textId="77777777">
        <w:tc>
          <w:tcPr>
            <w:tcW w:w="0" w:type="auto"/>
          </w:tcPr>
          <w:p w14:paraId="0741E11A" w14:textId="77777777" w:rsidR="00D80873" w:rsidRDefault="00000000">
            <w:pPr>
              <w:pStyle w:val="Compact"/>
            </w:pPr>
            <w:r>
              <w:t>Antarctica</w:t>
            </w:r>
          </w:p>
        </w:tc>
        <w:tc>
          <w:tcPr>
            <w:tcW w:w="0" w:type="auto"/>
          </w:tcPr>
          <w:p w14:paraId="056548F6" w14:textId="77777777" w:rsidR="00D80873" w:rsidRDefault="00000000">
            <w:pPr>
              <w:pStyle w:val="Compact"/>
            </w:pPr>
            <w:r>
              <w:rPr>
                <w:b/>
                <w:bCs/>
              </w:rPr>
              <w:t>0.003</w:t>
            </w:r>
          </w:p>
        </w:tc>
        <w:tc>
          <w:tcPr>
            <w:tcW w:w="0" w:type="auto"/>
          </w:tcPr>
          <w:p w14:paraId="19ACC6C8" w14:textId="77777777" w:rsidR="00D80873" w:rsidRDefault="00000000">
            <w:pPr>
              <w:pStyle w:val="Compact"/>
            </w:pPr>
            <w:r>
              <w:rPr>
                <w:b/>
                <w:bCs/>
              </w:rPr>
              <w:t>0.005</w:t>
            </w:r>
          </w:p>
        </w:tc>
        <w:tc>
          <w:tcPr>
            <w:tcW w:w="0" w:type="auto"/>
          </w:tcPr>
          <w:p w14:paraId="1452B017" w14:textId="77777777" w:rsidR="00D80873" w:rsidRDefault="00000000">
            <w:pPr>
              <w:pStyle w:val="Compact"/>
            </w:pPr>
            <w:r>
              <w:rPr>
                <w:b/>
                <w:bCs/>
              </w:rPr>
              <w:t>0.010</w:t>
            </w:r>
          </w:p>
        </w:tc>
        <w:tc>
          <w:tcPr>
            <w:tcW w:w="0" w:type="auto"/>
          </w:tcPr>
          <w:p w14:paraId="433A1622" w14:textId="77777777" w:rsidR="00D80873" w:rsidRDefault="00000000">
            <w:pPr>
              <w:pStyle w:val="Compact"/>
            </w:pPr>
            <w:r>
              <w:rPr>
                <w:b/>
                <w:bCs/>
              </w:rPr>
              <w:t>0.555</w:t>
            </w:r>
          </w:p>
        </w:tc>
        <w:tc>
          <w:tcPr>
            <w:tcW w:w="0" w:type="auto"/>
          </w:tcPr>
          <w:p w14:paraId="266FDD89" w14:textId="77777777" w:rsidR="00D80873" w:rsidRDefault="00000000">
            <w:pPr>
              <w:pStyle w:val="Compact"/>
            </w:pPr>
            <w:r>
              <w:rPr>
                <w:b/>
                <w:bCs/>
              </w:rPr>
              <w:t>0.018</w:t>
            </w:r>
          </w:p>
        </w:tc>
      </w:tr>
      <w:tr w:rsidR="00D80873" w14:paraId="4AC7A7A8" w14:textId="77777777">
        <w:tc>
          <w:tcPr>
            <w:tcW w:w="0" w:type="auto"/>
          </w:tcPr>
          <w:p w14:paraId="0F1E5193" w14:textId="77777777" w:rsidR="00D80873" w:rsidRDefault="00000000">
            <w:pPr>
              <w:pStyle w:val="Compact"/>
            </w:pPr>
            <w:r>
              <w:t>Greenland</w:t>
            </w:r>
          </w:p>
        </w:tc>
        <w:tc>
          <w:tcPr>
            <w:tcW w:w="0" w:type="auto"/>
          </w:tcPr>
          <w:p w14:paraId="192C3212" w14:textId="77777777" w:rsidR="00D80873" w:rsidRDefault="00000000">
            <w:pPr>
              <w:pStyle w:val="Compact"/>
            </w:pPr>
            <w:r>
              <w:rPr>
                <w:b/>
                <w:bCs/>
              </w:rPr>
              <w:t>0.114</w:t>
            </w:r>
          </w:p>
        </w:tc>
        <w:tc>
          <w:tcPr>
            <w:tcW w:w="0" w:type="auto"/>
          </w:tcPr>
          <w:p w14:paraId="4F89A2D2" w14:textId="77777777" w:rsidR="00D80873" w:rsidRDefault="00000000">
            <w:pPr>
              <w:pStyle w:val="Compact"/>
            </w:pPr>
            <w:r>
              <w:rPr>
                <w:b/>
                <w:bCs/>
              </w:rPr>
              <w:t>0.103</w:t>
            </w:r>
          </w:p>
        </w:tc>
        <w:tc>
          <w:tcPr>
            <w:tcW w:w="0" w:type="auto"/>
          </w:tcPr>
          <w:p w14:paraId="6E383AA9" w14:textId="77777777" w:rsidR="00D80873" w:rsidRDefault="00000000">
            <w:pPr>
              <w:pStyle w:val="Compact"/>
            </w:pPr>
            <w:r>
              <w:rPr>
                <w:b/>
                <w:bCs/>
              </w:rPr>
              <w:t>0.054</w:t>
            </w:r>
          </w:p>
        </w:tc>
        <w:tc>
          <w:tcPr>
            <w:tcW w:w="0" w:type="auto"/>
          </w:tcPr>
          <w:p w14:paraId="7E2F6691" w14:textId="77777777" w:rsidR="00D80873" w:rsidRDefault="00000000">
            <w:pPr>
              <w:pStyle w:val="Compact"/>
            </w:pPr>
            <w:r>
              <w:rPr>
                <w:b/>
                <w:bCs/>
              </w:rPr>
              <w:t>0.272</w:t>
            </w:r>
          </w:p>
        </w:tc>
        <w:tc>
          <w:tcPr>
            <w:tcW w:w="0" w:type="auto"/>
          </w:tcPr>
          <w:p w14:paraId="7B7ECE92" w14:textId="77777777" w:rsidR="00D80873" w:rsidRDefault="00000000">
            <w:pPr>
              <w:pStyle w:val="Compact"/>
            </w:pPr>
            <w:r>
              <w:rPr>
                <w:b/>
                <w:bCs/>
              </w:rPr>
              <w:t>0.086</w:t>
            </w:r>
          </w:p>
        </w:tc>
      </w:tr>
      <w:tr w:rsidR="00D80873" w14:paraId="29397783" w14:textId="77777777">
        <w:tc>
          <w:tcPr>
            <w:tcW w:w="0" w:type="auto"/>
          </w:tcPr>
          <w:p w14:paraId="6877B22B" w14:textId="77777777" w:rsidR="00D80873" w:rsidRDefault="00000000">
            <w:pPr>
              <w:pStyle w:val="Compact"/>
            </w:pPr>
            <w:r>
              <w:t>Glaciers</w:t>
            </w:r>
          </w:p>
        </w:tc>
        <w:tc>
          <w:tcPr>
            <w:tcW w:w="0" w:type="auto"/>
          </w:tcPr>
          <w:p w14:paraId="52FB092A" w14:textId="77777777" w:rsidR="00D80873" w:rsidRDefault="00000000">
            <w:pPr>
              <w:pStyle w:val="Compact"/>
            </w:pPr>
            <w:r>
              <w:rPr>
                <w:b/>
                <w:bCs/>
              </w:rPr>
              <w:t>0.421</w:t>
            </w:r>
          </w:p>
        </w:tc>
        <w:tc>
          <w:tcPr>
            <w:tcW w:w="0" w:type="auto"/>
          </w:tcPr>
          <w:p w14:paraId="039B7F88" w14:textId="77777777" w:rsidR="00D80873" w:rsidRDefault="00000000">
            <w:pPr>
              <w:pStyle w:val="Compact"/>
            </w:pPr>
            <w:r>
              <w:rPr>
                <w:b/>
                <w:bCs/>
              </w:rPr>
              <w:t>0.361</w:t>
            </w:r>
          </w:p>
        </w:tc>
        <w:tc>
          <w:tcPr>
            <w:tcW w:w="0" w:type="auto"/>
          </w:tcPr>
          <w:p w14:paraId="7F782DC3" w14:textId="77777777" w:rsidR="00D80873" w:rsidRDefault="00000000">
            <w:pPr>
              <w:pStyle w:val="Compact"/>
            </w:pPr>
            <w:r>
              <w:t>1.027</w:t>
            </w:r>
          </w:p>
        </w:tc>
        <w:tc>
          <w:tcPr>
            <w:tcW w:w="0" w:type="auto"/>
          </w:tcPr>
          <w:p w14:paraId="40809C3C" w14:textId="77777777" w:rsidR="00D80873" w:rsidRDefault="00000000">
            <w:pPr>
              <w:pStyle w:val="Compact"/>
            </w:pPr>
            <w:r>
              <w:rPr>
                <w:b/>
                <w:bCs/>
              </w:rPr>
              <w:t>0.355</w:t>
            </w:r>
          </w:p>
        </w:tc>
        <w:tc>
          <w:tcPr>
            <w:tcW w:w="0" w:type="auto"/>
          </w:tcPr>
          <w:p w14:paraId="20F67028" w14:textId="77777777" w:rsidR="00D80873" w:rsidRDefault="00000000">
            <w:pPr>
              <w:pStyle w:val="Compact"/>
            </w:pPr>
            <w:r>
              <w:rPr>
                <w:b/>
                <w:bCs/>
              </w:rPr>
              <w:t>0.408</w:t>
            </w:r>
          </w:p>
        </w:tc>
      </w:tr>
      <w:tr w:rsidR="00D80873" w14:paraId="6A76B280" w14:textId="77777777">
        <w:tc>
          <w:tcPr>
            <w:tcW w:w="0" w:type="auto"/>
          </w:tcPr>
          <w:p w14:paraId="1CAAB349" w14:textId="77777777" w:rsidR="00D80873" w:rsidRDefault="00000000">
            <w:pPr>
              <w:pStyle w:val="Compact"/>
            </w:pPr>
            <w:r>
              <w:t>Thermal expansion</w:t>
            </w:r>
          </w:p>
        </w:tc>
        <w:tc>
          <w:tcPr>
            <w:tcW w:w="0" w:type="auto"/>
          </w:tcPr>
          <w:p w14:paraId="5BACB110" w14:textId="77777777" w:rsidR="00D80873" w:rsidRDefault="00000000">
            <w:pPr>
              <w:pStyle w:val="Compact"/>
            </w:pPr>
            <w:r>
              <w:t>1.653</w:t>
            </w:r>
          </w:p>
        </w:tc>
        <w:tc>
          <w:tcPr>
            <w:tcW w:w="0" w:type="auto"/>
          </w:tcPr>
          <w:p w14:paraId="0B119FD6" w14:textId="77777777" w:rsidR="00D80873" w:rsidRDefault="00000000">
            <w:pPr>
              <w:pStyle w:val="Compact"/>
            </w:pPr>
            <w:r>
              <w:t>1.150</w:t>
            </w:r>
          </w:p>
        </w:tc>
        <w:tc>
          <w:tcPr>
            <w:tcW w:w="0" w:type="auto"/>
          </w:tcPr>
          <w:p w14:paraId="3E2D933C" w14:textId="77777777" w:rsidR="00D80873" w:rsidRDefault="00000000">
            <w:pPr>
              <w:pStyle w:val="Compact"/>
            </w:pPr>
            <w:r>
              <w:t>1.137</w:t>
            </w:r>
          </w:p>
        </w:tc>
        <w:tc>
          <w:tcPr>
            <w:tcW w:w="0" w:type="auto"/>
          </w:tcPr>
          <w:p w14:paraId="75762B00" w14:textId="77777777" w:rsidR="00D80873" w:rsidRDefault="00000000">
            <w:pPr>
              <w:pStyle w:val="Compact"/>
            </w:pPr>
            <w:r>
              <w:t>1.462</w:t>
            </w:r>
          </w:p>
        </w:tc>
        <w:tc>
          <w:tcPr>
            <w:tcW w:w="0" w:type="auto"/>
          </w:tcPr>
          <w:p w14:paraId="515CA6C5" w14:textId="77777777" w:rsidR="00D80873" w:rsidRDefault="00000000">
            <w:pPr>
              <w:pStyle w:val="Compact"/>
            </w:pPr>
            <w:r>
              <w:t>1.327</w:t>
            </w:r>
          </w:p>
        </w:tc>
      </w:tr>
      <w:tr w:rsidR="00D80873" w14:paraId="01596DB6" w14:textId="77777777">
        <w:tc>
          <w:tcPr>
            <w:tcW w:w="0" w:type="auto"/>
          </w:tcPr>
          <w:p w14:paraId="66AAB7A8" w14:textId="77777777" w:rsidR="00D80873" w:rsidRDefault="00000000">
            <w:pPr>
              <w:pStyle w:val="Compact"/>
            </w:pPr>
            <w:r>
              <w:rPr>
                <w:b/>
                <w:bCs/>
              </w:rPr>
              <w:t>Total</w:t>
            </w:r>
          </w:p>
        </w:tc>
        <w:tc>
          <w:tcPr>
            <w:tcW w:w="0" w:type="auto"/>
          </w:tcPr>
          <w:p w14:paraId="3E549C18" w14:textId="77777777" w:rsidR="00D80873" w:rsidRDefault="00000000">
            <w:pPr>
              <w:pStyle w:val="Compact"/>
            </w:pPr>
            <w:r>
              <w:rPr>
                <w:b/>
                <w:bCs/>
              </w:rPr>
              <w:t>0.687</w:t>
            </w:r>
          </w:p>
        </w:tc>
        <w:tc>
          <w:tcPr>
            <w:tcW w:w="0" w:type="auto"/>
          </w:tcPr>
          <w:p w14:paraId="4EF52C6B" w14:textId="77777777" w:rsidR="00D80873" w:rsidRDefault="00000000">
            <w:pPr>
              <w:pStyle w:val="Compact"/>
            </w:pPr>
            <w:r>
              <w:rPr>
                <w:b/>
                <w:bCs/>
              </w:rPr>
              <w:t>0.411</w:t>
            </w:r>
          </w:p>
        </w:tc>
        <w:tc>
          <w:tcPr>
            <w:tcW w:w="0" w:type="auto"/>
          </w:tcPr>
          <w:p w14:paraId="2EB5EDB2" w14:textId="77777777" w:rsidR="00D80873" w:rsidRDefault="00000000">
            <w:pPr>
              <w:pStyle w:val="Compact"/>
            </w:pPr>
            <w:r>
              <w:rPr>
                <w:b/>
                <w:bCs/>
              </w:rPr>
              <w:t>0.277</w:t>
            </w:r>
          </w:p>
        </w:tc>
        <w:tc>
          <w:tcPr>
            <w:tcW w:w="0" w:type="auto"/>
          </w:tcPr>
          <w:p w14:paraId="146CA3ED" w14:textId="77777777" w:rsidR="00D80873" w:rsidRDefault="00000000">
            <w:pPr>
              <w:pStyle w:val="Compact"/>
            </w:pPr>
            <w:r>
              <w:t>1.121</w:t>
            </w:r>
          </w:p>
        </w:tc>
        <w:tc>
          <w:tcPr>
            <w:tcW w:w="0" w:type="auto"/>
          </w:tcPr>
          <w:p w14:paraId="26D981E8" w14:textId="77777777" w:rsidR="00D80873" w:rsidRDefault="00000000">
            <w:pPr>
              <w:pStyle w:val="Compact"/>
            </w:pPr>
            <w:r>
              <w:rPr>
                <w:b/>
                <w:bCs/>
              </w:rPr>
              <w:t>0.459</w:t>
            </w:r>
          </w:p>
        </w:tc>
      </w:tr>
    </w:tbl>
    <w:p w14:paraId="5ED29D15" w14:textId="5C68FD4A" w:rsidR="00D80873" w:rsidRDefault="00000000">
      <w:pPr>
        <w:pStyle w:val="BodyText"/>
      </w:pPr>
      <w:r>
        <w:lastRenderedPageBreak/>
        <w:t xml:space="preserve">BRICK 2.0 runs on its own published posterior against our extended targets, so part of its bias is </w:t>
      </w:r>
      <w:proofErr w:type="gramStart"/>
      <w:r>
        <w:t>target</w:t>
      </w:r>
      <w:proofErr w:type="gramEnd"/>
      <w:r>
        <w:t xml:space="preserve"> vintage — a caveat that carries </w:t>
      </w:r>
      <w:r>
        <w:rPr>
          <w:i/>
          <w:iCs/>
        </w:rPr>
        <w:t>more</w:t>
      </w:r>
      <w:r>
        <w:t xml:space="preserve"> weight in the earliest, sparsest-observation window than anywhere else.</w:t>
      </w:r>
    </w:p>
    <w:p w14:paraId="50E110C9" w14:textId="77777777" w:rsidR="00D80873" w:rsidRDefault="00000000">
      <w:pPr>
        <w:pStyle w:val="BodyText"/>
      </w:pPr>
      <w:r>
        <w:rPr>
          <w:i/>
          <w:iCs/>
        </w:rPr>
        <w:t>Thermal expansion in both models is driven by FaIR's full-depth ocean heat against a 0–2000 m target, so this row measures Ladrillo's fit relative to BRICK 2.0, not absolute accuracy — see the depth-scope discussion below.</w:t>
      </w:r>
    </w:p>
    <w:p w14:paraId="654DD25F" w14:textId="32976915" w:rsidR="00D80873" w:rsidRDefault="00000000">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+23.49 — Ladrillo undershoots by 1.2 cm, BRICK overshoots by 2.5. Over the shorter, more recent window — the level at 2024 relative to the 1995–2005 baseline — both models still run high, but only slightly: observed +7.81 cm, Ladrillo +8.16 (+0.36), BRICK 2.0 +8.06 (+0.25), with IGCC's independent GMSL estimate the highest of the </w:t>
      </w:r>
      <w:r w:rsidR="00074166">
        <w:t>four</w:t>
      </w:r>
      <w:r>
        <w:t xml:space="preserve"> at +8.21. Each of those means is taken over the three years 2022–2024, the years for which the observational total exists</w:t>
      </w:r>
      <w:r w:rsidR="009E1B02">
        <w:t xml:space="preserve">. </w:t>
      </w:r>
    </w:p>
    <w:p w14:paraId="758C812B" w14:textId="77777777" w:rsidR="00D80873" w:rsidRDefault="00000000">
      <w:pPr>
        <w:pStyle w:val="BodyText"/>
      </w:pPr>
      <w:r>
        <w:rPr>
          <w:b/>
          <w:bCs/>
        </w:rPr>
        <w:t>For thermal expansion Ladrillo overshoots, and the cause is FaIR.</w:t>
      </w:r>
      <w:r>
        <w:t xml:space="preserve"> In both Ladrillo and BRICK thermal expansion is </w:t>
      </w:r>
      <w:r>
        <w:rPr>
          <w:i/>
          <w:iCs/>
        </w:rPr>
        <w:t>exactly</w:t>
      </w:r>
      <w:r>
        <w:t xml:space="preserve"> 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the two spliced observed-OHC series we use, Zanna+Cheng and Zanna+IGCC, differ by 51% on 1950–1993 ocean heat gain (35% on five-year mean endpoints).</w:t>
      </w:r>
    </w:p>
    <w:p w14:paraId="2A4435B9" w14:textId="77777777" w:rsidR="00D80873" w:rsidRDefault="00000000">
      <w:pPr>
        <w:pStyle w:val="Heading2"/>
      </w:pPr>
      <w:bookmarkStart w:id="7" w:name="ladrillo-projection-comparison"/>
      <w:bookmarkEnd w:id="6"/>
      <w:r>
        <w:t>Ladrillo Projection Comparison</w:t>
      </w:r>
    </w:p>
    <w:p w14:paraId="15CDD1A7" w14:textId="77777777" w:rsidR="00D80873" w:rsidRDefault="00000000">
      <w:pPr>
        <w:pStyle w:val="FirstParagraph"/>
      </w:pPr>
      <w:r>
        <w:t xml:space="preserve">The van Vuuren markers are the </w:t>
      </w:r>
      <w:r>
        <w:rPr>
          <w:b/>
          <w:bCs/>
        </w:rPr>
        <w:t>primary</w:t>
      </w:r>
      <w:r>
        <w:t xml:space="preserve"> comparison; the SSPs are a secondary set and the control, being the only scenarios with a prior result to check the pipeline against. All Ladrillo bands are the </w:t>
      </w:r>
      <w:r>
        <w:rPr>
          <w:b/>
          <w:bCs/>
        </w:rPr>
        <w:t>joint</w:t>
      </w:r>
      <w:r>
        <w:t xml:space="preserve"> (posterior × FaIR-forcing) arm, width-comparable to MAGICC and FACTS; BRICK 2.0's joint band uses the same cubes, splice pivot and pair seed.</w:t>
      </w:r>
    </w:p>
    <w:p w14:paraId="13F0A62C" w14:textId="77777777" w:rsidR="00D80873" w:rsidRDefault="00000000">
      <w:pPr>
        <w:pStyle w:val="BodyText"/>
      </w:pPr>
      <w:r>
        <w:rPr>
          <w:noProof/>
        </w:rPr>
        <w:lastRenderedPageBreak/>
        <w:drawing>
          <wp:inline distT="0" distB="0" distL="0" distR="0" wp14:anchorId="2F2397EB" wp14:editId="0387DF8D">
            <wp:extent cx="5334000" cy="2607733"/>
            <wp:effectExtent l="0" t="0" r="0" b="0"/>
            <wp:docPr id="19" name="Picture" descr="van Vuuren marker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1223A9CC" w14:textId="77777777" w:rsidR="00D80873" w:rsidRDefault="00000000">
      <w:pPr>
        <w:pStyle w:val="BodyText"/>
      </w:pPr>
      <w:r>
        <w:rPr>
          <w:b/>
          <w:bCs/>
        </w:rPr>
        <w:t>FIG 2.</w:t>
      </w:r>
      <w:r>
        <w:t xml:space="preserve"> Ladrillo L24 compared against BRICK 2.0, FACTS and MAGICC-SLR across the seven van Vuuren markers at </w:t>
      </w:r>
      <w:r>
        <w:rPr>
          <w:b/>
          <w:bCs/>
        </w:rPr>
        <w:t>2100</w:t>
      </w:r>
      <w:r>
        <w:t>, by component.</w:t>
      </w:r>
    </w:p>
    <w:p w14:paraId="7D35B958" w14:textId="77777777" w:rsidR="00D80873" w:rsidRDefault="00000000">
      <w:pPr>
        <w:pStyle w:val="BodyText"/>
      </w:pPr>
      <w:r>
        <w:rPr>
          <w:noProof/>
        </w:rPr>
        <w:drawing>
          <wp:inline distT="0" distB="0" distL="0" distR="0" wp14:anchorId="0E97DB26" wp14:editId="72BEF9BF">
            <wp:extent cx="5334000" cy="2607733"/>
            <wp:effectExtent l="0" t="0" r="0" b="0"/>
            <wp:docPr id="22" name="Picture" descr="van Vuuren marker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111454B1" w14:textId="77777777" w:rsidR="00D80873" w:rsidRDefault="00000000">
      <w:pPr>
        <w:pStyle w:val="BodyText"/>
      </w:pPr>
      <w:r>
        <w:rPr>
          <w:b/>
          <w:bCs/>
        </w:rPr>
        <w:t>FIG 3.</w:t>
      </w:r>
      <w:r>
        <w:t xml:space="preserve"> The same comparison at </w:t>
      </w:r>
      <w:r>
        <w:rPr>
          <w:b/>
          <w:bCs/>
        </w:rPr>
        <w:t>2150</w:t>
      </w:r>
      <w:r>
        <w:t>.</w:t>
      </w:r>
    </w:p>
    <w:p w14:paraId="5401B72F" w14:textId="77777777" w:rsidR="00D80873" w:rsidRDefault="00000000">
      <w:pPr>
        <w:pStyle w:val="BodyText"/>
      </w:pPr>
      <w:r>
        <w:rPr>
          <w:noProof/>
        </w:rPr>
        <w:lastRenderedPageBreak/>
        <w:drawing>
          <wp:inline distT="0" distB="0" distL="0" distR="0" wp14:anchorId="23801664" wp14:editId="03E7B381">
            <wp:extent cx="5334000" cy="2607733"/>
            <wp:effectExtent l="0" t="0" r="0" b="0"/>
            <wp:docPr id="25" name="Picture" descr="van Vuuren marker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60DD5858" w14:textId="77777777" w:rsidR="00D80873" w:rsidRDefault="00000000">
      <w:pPr>
        <w:pStyle w:val="BodyText"/>
      </w:pPr>
      <w:r>
        <w:rPr>
          <w:b/>
          <w:bCs/>
        </w:rPr>
        <w:t>FIG 4.</w:t>
      </w:r>
      <w:r>
        <w:t xml:space="preserve"> The same comparison at </w:t>
      </w:r>
      <w:r>
        <w:rPr>
          <w:b/>
          <w:bCs/>
        </w:rPr>
        <w:t>2300</w:t>
      </w:r>
      <w:r>
        <w:t>.</w:t>
      </w:r>
    </w:p>
    <w:p w14:paraId="269312BE" w14:textId="77777777" w:rsidR="00D80873" w:rsidRDefault="00000000">
      <w:pPr>
        <w:pStyle w:val="BodyText"/>
      </w:pPr>
      <w:r>
        <w:rPr>
          <w:noProof/>
        </w:rPr>
        <w:drawing>
          <wp:inline distT="0" distB="0" distL="0" distR="0" wp14:anchorId="6ADDFFAD" wp14:editId="61A6894E">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7342D6A4" w14:textId="77777777" w:rsidR="00D80873" w:rsidRDefault="00000000">
      <w:pPr>
        <w:pStyle w:val="BodyText"/>
      </w:pPr>
      <w:r>
        <w:rPr>
          <w:b/>
          <w:bCs/>
        </w:rPr>
        <w:t>FIG 5.</w:t>
      </w:r>
      <w:r>
        <w:t xml:space="preserve"> Component trajectories across the van Vuuren markers, joint band.</w:t>
      </w:r>
    </w:p>
    <w:p w14:paraId="663146B0" w14:textId="77777777" w:rsidR="00D80873" w:rsidRDefault="00000000">
      <w:pPr>
        <w:pStyle w:val="BodyText"/>
      </w:pPr>
      <w:r>
        <w:rPr>
          <w:noProof/>
        </w:rPr>
        <w:lastRenderedPageBreak/>
        <w:drawing>
          <wp:inline distT="0" distB="0" distL="0" distR="0" wp14:anchorId="4CEE601C" wp14:editId="6FE9E5CA">
            <wp:extent cx="5334000" cy="5009269"/>
            <wp:effectExtent l="0" t="0" r="0" b="0"/>
            <wp:docPr id="31" name="Picture" descr="Glacier response on the declining markers"/>
            <wp:cNvGraphicFramePr/>
            <a:graphic xmlns:a="http://schemas.openxmlformats.org/drawingml/2006/main">
              <a:graphicData uri="http://schemas.openxmlformats.org/drawingml/2006/picture">
                <pic:pic xmlns:pic="http://schemas.openxmlformats.org/drawingml/2006/picture">
                  <pic:nvPicPr>
                    <pic:cNvPr id="32" name="Picture" descr="figures/vv_gsic_wr_vs_ladrillo_2300.png"/>
                    <pic:cNvPicPr>
                      <a:picLocks noChangeAspect="1" noChangeArrowheads="1"/>
                    </pic:cNvPicPr>
                  </pic:nvPicPr>
                  <pic:blipFill>
                    <a:blip r:embed="rId10"/>
                    <a:stretch>
                      <a:fillRect/>
                    </a:stretch>
                  </pic:blipFill>
                  <pic:spPr bwMode="auto">
                    <a:xfrm>
                      <a:off x="0" y="0"/>
                      <a:ext cx="5334000" cy="5009269"/>
                    </a:xfrm>
                    <a:prstGeom prst="rect">
                      <a:avLst/>
                    </a:prstGeom>
                    <a:noFill/>
                    <a:ln w="9525">
                      <a:noFill/>
                      <a:headEnd/>
                      <a:tailEnd/>
                    </a:ln>
                  </pic:spPr>
                </pic:pic>
              </a:graphicData>
            </a:graphic>
          </wp:inline>
        </w:drawing>
      </w:r>
    </w:p>
    <w:p w14:paraId="0B71CA8C" w14:textId="77777777" w:rsidR="00D80873" w:rsidRDefault="00000000">
      <w:pPr>
        <w:pStyle w:val="BodyText"/>
      </w:pPr>
      <w:r>
        <w:rPr>
          <w:b/>
          <w:bCs/>
        </w:rPr>
        <w:t>FIG 6.</w:t>
      </w:r>
      <w:r>
        <w:t xml:space="preserve"> Glacier contribution over time, comparing Ladrillo to BRICK2.0. This is where glacier regrowth is visible in Ladrillo for overshoot scenarios, whereas the Wigley-Raper formulation continues melting.</w:t>
      </w:r>
    </w:p>
    <w:p w14:paraId="277412F6" w14:textId="77777777" w:rsidR="00D80873" w:rsidRDefault="00000000">
      <w:pPr>
        <w:pStyle w:val="Heading3"/>
      </w:pPr>
      <w:bookmarkStart w:id="8" w:name="secondary-the-ssps"/>
      <w:r>
        <w:lastRenderedPageBreak/>
        <w:t>Secondary: the SSPs</w:t>
      </w:r>
    </w:p>
    <w:p w14:paraId="2B082064" w14:textId="77777777" w:rsidR="00D80873" w:rsidRDefault="00000000">
      <w:pPr>
        <w:pStyle w:val="FirstParagraph"/>
      </w:pPr>
      <w:r>
        <w:rPr>
          <w:noProof/>
        </w:rPr>
        <w:drawing>
          <wp:inline distT="0" distB="0" distL="0" distR="0" wp14:anchorId="7B216B7E" wp14:editId="4C25BD61">
            <wp:extent cx="5334000" cy="3090041"/>
            <wp:effectExtent l="0" t="0" r="0" b="0"/>
            <wp:docPr id="34"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5" name="Picture" descr="figures/model_comparison_components_L24_2100.png"/>
                    <pic:cNvPicPr>
                      <a:picLocks noChangeAspect="1" noChangeArrowheads="1"/>
                    </pic:cNvPicPr>
                  </pic:nvPicPr>
                  <pic:blipFill>
                    <a:blip r:embed="rId11"/>
                    <a:stretch>
                      <a:fillRect/>
                    </a:stretch>
                  </pic:blipFill>
                  <pic:spPr bwMode="auto">
                    <a:xfrm>
                      <a:off x="0" y="0"/>
                      <a:ext cx="5334000" cy="3090041"/>
                    </a:xfrm>
                    <a:prstGeom prst="rect">
                      <a:avLst/>
                    </a:prstGeom>
                    <a:noFill/>
                    <a:ln w="9525">
                      <a:noFill/>
                      <a:headEnd/>
                      <a:tailEnd/>
                    </a:ln>
                  </pic:spPr>
                </pic:pic>
              </a:graphicData>
            </a:graphic>
          </wp:inline>
        </w:drawing>
      </w:r>
    </w:p>
    <w:p w14:paraId="71CF5891" w14:textId="77777777" w:rsidR="00D80873" w:rsidRDefault="00000000">
      <w:pPr>
        <w:pStyle w:val="BodyText"/>
      </w:pPr>
      <w:r>
        <w:rPr>
          <w:b/>
          <w:bCs/>
        </w:rPr>
        <w:t>FIG 7.</w:t>
      </w:r>
      <w:r>
        <w:t xml:space="preserve"> The SSP comparison at </w:t>
      </w:r>
      <w:r>
        <w:rPr>
          <w:b/>
          <w:bCs/>
        </w:rPr>
        <w:t>2100</w:t>
      </w:r>
      <w:r>
        <w:t>.</w:t>
      </w:r>
    </w:p>
    <w:p w14:paraId="3A85B461" w14:textId="77777777" w:rsidR="00D80873" w:rsidRDefault="00000000">
      <w:pPr>
        <w:pStyle w:val="BodyText"/>
      </w:pPr>
      <w:r>
        <w:rPr>
          <w:noProof/>
        </w:rPr>
        <w:drawing>
          <wp:inline distT="0" distB="0" distL="0" distR="0" wp14:anchorId="5EDF0EC6" wp14:editId="2E46A848">
            <wp:extent cx="5334000" cy="3090041"/>
            <wp:effectExtent l="0" t="0" r="0" b="0"/>
            <wp:docPr id="37" name="Picture" descr="Component comparison at 23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3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3665B0E6" w14:textId="77777777" w:rsidR="00D80873" w:rsidRDefault="00000000">
      <w:pPr>
        <w:pStyle w:val="BodyText"/>
      </w:pPr>
      <w:r>
        <w:rPr>
          <w:b/>
          <w:bCs/>
        </w:rPr>
        <w:t>FIG 8.</w:t>
      </w:r>
      <w:r>
        <w:t xml:space="preserve"> The SSP comparison at </w:t>
      </w:r>
      <w:r>
        <w:rPr>
          <w:b/>
          <w:bCs/>
        </w:rPr>
        <w:t>2300</w:t>
      </w:r>
      <w:r>
        <w:t>, where only MAGICC-SLR and BRICK 2.0 extend.</w:t>
      </w:r>
    </w:p>
    <w:p w14:paraId="76404237" w14:textId="77777777" w:rsidR="00D80873" w:rsidRDefault="00000000">
      <w:pPr>
        <w:pStyle w:val="BodyText"/>
      </w:pPr>
      <w:r>
        <w:rPr>
          <w:noProof/>
        </w:rPr>
        <w:lastRenderedPageBreak/>
        <w:drawing>
          <wp:inline distT="0" distB="0" distL="0" distR="0" wp14:anchorId="67B2B0A4" wp14:editId="4D2F5F4A">
            <wp:extent cx="5334000" cy="2133600"/>
            <wp:effectExtent l="0" t="0" r="0" b="0"/>
            <wp:docPr id="40" name="Picture" descr="Total sea level by SSP"/>
            <wp:cNvGraphicFramePr/>
            <a:graphic xmlns:a="http://schemas.openxmlformats.org/drawingml/2006/main">
              <a:graphicData uri="http://schemas.openxmlformats.org/drawingml/2006/picture">
                <pic:pic xmlns:pic="http://schemas.openxmlformats.org/drawingml/2006/picture">
                  <pic:nvPicPr>
                    <pic:cNvPr id="41" name="Picture" descr="figures/ladrillo_L24_fig2_ssp_total.png"/>
                    <pic:cNvPicPr>
                      <a:picLocks noChangeAspect="1" noChangeArrowheads="1"/>
                    </pic:cNvPicPr>
                  </pic:nvPicPr>
                  <pic:blipFill>
                    <a:blip r:embed="rId13"/>
                    <a:stretch>
                      <a:fillRect/>
                    </a:stretch>
                  </pic:blipFill>
                  <pic:spPr bwMode="auto">
                    <a:xfrm>
                      <a:off x="0" y="0"/>
                      <a:ext cx="5334000" cy="2133600"/>
                    </a:xfrm>
                    <a:prstGeom prst="rect">
                      <a:avLst/>
                    </a:prstGeom>
                    <a:noFill/>
                    <a:ln w="9525">
                      <a:noFill/>
                      <a:headEnd/>
                      <a:tailEnd/>
                    </a:ln>
                  </pic:spPr>
                </pic:pic>
              </a:graphicData>
            </a:graphic>
          </wp:inline>
        </w:drawing>
      </w:r>
    </w:p>
    <w:p w14:paraId="1A392FF1" w14:textId="77777777" w:rsidR="00D80873" w:rsidRDefault="00000000">
      <w:pPr>
        <w:pStyle w:val="BodyText"/>
      </w:pPr>
      <w:r>
        <w:rPr>
          <w:b/>
          <w:bCs/>
        </w:rPr>
        <w:t>FIG 9.</w:t>
      </w:r>
      <w:r>
        <w:t xml:space="preserve"> Total sea level by SSP, Ladrillo L24 joint band. Totals at 2300: </w:t>
      </w:r>
      <w:r>
        <w:rPr>
          <w:b/>
          <w:bCs/>
        </w:rPr>
        <w:t>72.6 cm</w:t>
      </w:r>
      <w:r>
        <w:t xml:space="preserve"> (SSP1-2.6), </w:t>
      </w:r>
      <w:r>
        <w:rPr>
          <w:b/>
          <w:bCs/>
        </w:rPr>
        <w:t>249.2 cm</w:t>
      </w:r>
      <w:r>
        <w:t xml:space="preserve"> (SSP2-4.5), </w:t>
      </w:r>
      <w:r>
        <w:rPr>
          <w:b/>
          <w:bCs/>
        </w:rPr>
        <w:t>516.7 cm</w:t>
      </w:r>
      <w:r>
        <w:t xml:space="preserve"> (SSP5-8.5).</w:t>
      </w:r>
    </w:p>
    <w:p w14:paraId="1EF1030D" w14:textId="77777777" w:rsidR="00D80873" w:rsidRDefault="00000000">
      <w:pPr>
        <w:pStyle w:val="Heading3"/>
      </w:pPr>
      <w:bookmarkStart w:id="9" w:name="Xce0668475c0b0274c977dd37ba90259edcfba33"/>
      <w:bookmarkEnd w:id="8"/>
      <w:r>
        <w:t>Ladrillo compared to MAGICC on MAGICC's own climate</w:t>
      </w:r>
    </w:p>
    <w:p w14:paraId="1F0EBCAD" w14:textId="77777777" w:rsidR="00D80873" w:rsidRDefault="00000000">
      <w:pPr>
        <w:pStyle w:val="FirstParagraph"/>
      </w:pPr>
      <w:r>
        <w:t>Comparing two sea-level models on different climate drivers confounds the module with the forcing. Ladrillo was therefore re-run on MAGICC's climate to test which differences were due to sea level module versus climate module.</w:t>
      </w:r>
    </w:p>
    <w:p w14:paraId="1369001C" w14:textId="77777777" w:rsidR="00D80873" w:rsidRDefault="00000000">
      <w:pPr>
        <w:pStyle w:val="Heading3"/>
      </w:pPr>
      <w:bookmarkStart w:id="10" w:name="X24c92579f6713723bf9ed7066aed63ccd1e3f3f"/>
      <w:bookmarkEnd w:id="9"/>
      <w:r>
        <w:t>Physical intuition — how Ladrillo behaves by scenario class</w:t>
      </w:r>
    </w:p>
    <w:p w14:paraId="3E35DBAF" w14:textId="77777777" w:rsidR="00D80873" w:rsidRDefault="00000000">
      <w:pPr>
        <w:pStyle w:val="FirstParagraph"/>
      </w:pPr>
      <w:r>
        <w:rPr>
          <w:b/>
          <w:bCs/>
        </w:rPr>
        <w:t>High scenarios.</w:t>
      </w:r>
      <w:r>
        <w:t xml:space="preserve"> Ladrillo is comparable to the other models at 2100. By 2300 it separates upward from BRICK 2.0 (due largely to Antarctic threshold behavior) but stays below MAGICC-SLR's steeper rise (439 cm vs. 570 cm, median). Its 2300 spread is dominated by the prior for </w:t>
      </w:r>
      <w:r>
        <w:rPr>
          <w:rStyle w:val="VerbatimChar"/>
        </w:rPr>
        <w:t>antarctic_lambda</w:t>
      </w:r>
      <w:r>
        <w:t>.</w:t>
      </w:r>
    </w:p>
    <w:p w14:paraId="3339942E" w14:textId="77777777" w:rsidR="00D80873" w:rsidRDefault="00000000">
      <w:pPr>
        <w:pStyle w:val="BodyText"/>
      </w:pPr>
      <w:r>
        <w:rPr>
          <w:b/>
          <w:bCs/>
        </w:rPr>
        <w:t>Low scenarios.</w:t>
      </w:r>
      <w:r>
        <w:t xml:space="preserve"> 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14:paraId="42F666C0" w14:textId="77777777" w:rsidR="00D80873" w:rsidRDefault="00000000">
      <w:pPr>
        <w:pStyle w:val="BodyText"/>
      </w:pPr>
      <w:r>
        <w:rPr>
          <w:b/>
          <w:bCs/>
        </w:rPr>
        <w:t>Peak-and-decline scenarios.</w:t>
      </w:r>
      <w:r>
        <w:t xml:space="preserve"> 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14:paraId="01D0BCE1" w14:textId="77777777" w:rsidR="00D80873" w:rsidRDefault="00000000">
      <w:pPr>
        <w:pStyle w:val="BodyText"/>
      </w:pPr>
      <w:r>
        <w:rPr>
          <w:b/>
          <w:bCs/>
        </w:rPr>
        <w:t>MAGICC regrows substantially more than Ladrillo.</w:t>
      </w:r>
      <w:r>
        <w:t xml:space="preserve"> About ¾ of the regrowth difference is model structure and ¼ the climate module**.** Measured on realised regrowth (peak-to-2300) at vvLN, the scenario where regrowth is largest: MAGICC regrows 8.59 cm against </w:t>
      </w:r>
      <w:r>
        <w:lastRenderedPageBreak/>
        <w:t>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bookmarkEnd w:id="0"/>
      <w:bookmarkEnd w:id="7"/>
      <w:bookmarkEnd w:id="10"/>
    </w:p>
    <w:sectPr w:rsidR="00D8087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BD221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09868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80873"/>
    <w:rsid w:val="00074166"/>
    <w:rsid w:val="00381490"/>
    <w:rsid w:val="009E1B02"/>
    <w:rsid w:val="00A9112B"/>
    <w:rsid w:val="00D80873"/>
    <w:rsid w:val="00DE11DF"/>
    <w:rsid w:val="00F941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32AA85A"/>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13</Pages>
  <Words>2906</Words>
  <Characters>16568</Characters>
  <Application>Microsoft Office Word</Application>
  <DocSecurity>0</DocSecurity>
  <Lines>138</Lines>
  <Paragraphs>38</Paragraphs>
  <ScaleCrop>false</ScaleCrop>
  <Company/>
  <LinksUpToDate>false</LinksUpToDate>
  <CharactersWithSpaces>19436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6</cp:revision>
  <dcterms:created xsi:type="dcterms:W3CDTF">2026-09-10T19:37:00Z</dcterms:created>
  <dcterms:modified xsi:type="dcterms:W3CDTF">2026-09-10T19:52:00Z</dcterms:modified>
</cp:coreProperties>
</file>