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from 1900 or earlier: BRICK 2.0, SURFER, MP25. Of these three, SURFER's historical total runs outside the observational range in SLEIP's own assessment, and MP25 is a statistical fit to the Frederikse reconstruction that projects only to 2100. MAGICC-SLR and FRISIA start their ice sheets in 1990 and 2002 and ProFSea starts in 2007. Meanwhile, beyond 2100, FACTS's ice-sheet modules either extrapolate or sample from 21st-century projections, and MAGICC-SLR can only be run on MAGICC's own climate.</w:t>
      </w:r>
    </w:p>
    <w:p>
      <w:pPr>
        <w:pStyle w:val="BodyText"/>
      </w:pPr>
      <w:r>
        <w:t xml:space="preserve">As a derivative of BRICK, Ladrillo and BRICK do have a similar niche. However, while Ladrillo generally keeps to BRICK’s design philosophy of physically based components calibrated on the historical record, it does depart from that philosophy in two places that observations cannot reach,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2640"/>
        <w:gridCol w:w="660"/>
        <w:gridCol w:w="792"/>
        <w:gridCol w:w="660"/>
        <w:gridCol w:w="528"/>
        <w:gridCol w:w="792"/>
        <w:gridCol w:w="660"/>
        <w:gridCol w:w="528"/>
        <w:gridCol w:w="660"/>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2508"/>
        <w:gridCol w:w="528"/>
        <w:gridCol w:w="660"/>
        <w:gridCol w:w="528"/>
        <w:gridCol w:w="792"/>
        <w:gridCol w:w="528"/>
        <w:gridCol w:w="660"/>
        <w:gridCol w:w="792"/>
        <w:gridCol w:w="924"/>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(cm SLE)</w:t>
            </w:r>
          </w:p>
        </w:tc>
        <w:tc>
          <w:tcPr/>
          <w:p>
            <w:pPr>
              <w:pStyle w:val="Compact"/>
            </w:pPr>
            <w:r>
              <w:rPr>
                <w:sz w:val="16"/>
              </w:rPr>
              <w:t xml:space="preserve">42⁷</w:t>
            </w:r>
          </w:p>
        </w:tc>
        <w:tc>
          <w:tcPr/>
          <w:p>
            <w:pPr>
              <w:pStyle w:val="Compact"/>
            </w:pPr>
            <w:r>
              <w:rPr>
                <w:sz w:val="16"/>
              </w:rPr>
              <w:t xml:space="preserve">31.6 cap⁸</w:t>
            </w:r>
          </w:p>
        </w:tc>
        <w:tc>
          <w:tcPr/>
          <w:p>
            <w:pPr>
              <w:pStyle w:val="Compact"/>
            </w:pPr>
            <w:r>
              <w:rPr>
                <w:sz w:val="16"/>
              </w:rPr>
              <w:t xml:space="preserve">n.d.</w:t>
            </w:r>
          </w:p>
        </w:tc>
        <w:tc>
          <w:tcPr/>
          <w:p>
            <w:pPr>
              <w:pStyle w:val="Compact"/>
            </w:pPr>
            <w:r>
              <w:rPr>
                <w:sz w:val="16"/>
              </w:rPr>
              <w:t xml:space="preserve">35.6–45.1⁹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50</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Wigley–Raper assumed maximum 41. ⁸ AR5 Table 4.2, less the Antarctic periphery. ⁹ Across the 15 glacier tunes.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centres on 42 cm SLE (5–95% 32–52), inherited from the Wigley and Raper (2005) assumed maximum of 41 cm;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2026-09-12T19:56:28Z</dcterms:created>
  <dcterms:modified xsi:type="dcterms:W3CDTF">2026-09-12T19:56:28Z</dcterms:modified>
</cp:coreProperties>
</file>

<file path=docProps/custom.xml><?xml version="1.0" encoding="utf-8"?>
<Properties xmlns="http://schemas.openxmlformats.org/officeDocument/2006/custom-properties" xmlns:vt="http://schemas.openxmlformats.org/officeDocument/2006/docPropsVTypes"/>
</file>