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(slow) and outlet/dynamic discharge (fast). Two channels allow for that partition.</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a one-sigma change moves Antarctic sea level at 2300 by about 69 cm on SSP5-8.5, roughly 13% of that scenario's total.</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Its Antarctic band is wider than other models, while Greenland, glaciers and thermal expansion are all narrower there.</w:t>
      </w:r>
    </w:p>
    <w:p>
      <w:pPr>
        <w:pStyle w:val="BodyText"/>
      </w:pPr>
      <w:r>
        <w:rPr>
          <w:b/>
          <w:bCs/>
        </w:rPr>
        <w:t xml:space="preserve">Peak-and-decline scenarios.</w:t>
      </w:r>
      <w:r>
        <w:t xml:space="preserve"> </w:t>
      </w:r>
      <w:r>
        <w:t xml:space="preserve">The glacier change is evident here because it allows regrowth, though that regrowth is modest relative to total SLR changes (about 2.2 cm in 2300).</w:t>
      </w:r>
    </w:p>
    <w:p>
      <w:pPr>
        <w:pStyle w:val="BodyText"/>
      </w:pPr>
      <w:r>
        <w:rPr>
          <w:b/>
          <w:bCs/>
        </w:rPr>
        <w:t xml:space="preserve">MAGICC regrows substantially more than Ladrillo, and about ¾ of that is model structure and ¼ the climate module.</w:t>
      </w:r>
      <w:r>
        <w:t xml:space="preserve"> </w:t>
      </w:r>
      <w:r>
        <w:t xml:space="preserve">Ladrillo’s equilibrium regrowth is similar to MAGICC’s, but its rate of regrowth is slower because the SLOWP and R19 regions have long timescales.</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2026-09-03T15:09:15Z</dcterms:created>
  <dcterms:modified xsi:type="dcterms:W3CDTF">2026-09-03T15:09:15Z</dcterms:modified>
</cp:coreProperties>
</file>

<file path=docProps/custom.xml><?xml version="1.0" encoding="utf-8"?>
<Properties xmlns="http://schemas.openxmlformats.org/officeDocument/2006/custom-properties" xmlns:vt="http://schemas.openxmlformats.org/officeDocument/2006/docPropsVTypes"/>
</file>