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519BF6" w14:textId="77777777" w:rsidR="00526249" w:rsidRDefault="00000000">
      <w:pPr>
        <w:pStyle w:val="Heading1"/>
      </w:pPr>
      <w:bookmarkStart w:id="0" w:name="X8c0c1f51a74ca6596ed070fba47febc6f3a7ef4"/>
      <w:r>
        <w:t>Antarctic calibration: L27 vs L32 — trade-off summary</w:t>
      </w:r>
    </w:p>
    <w:p w14:paraId="43E4A723" w14:textId="77777777" w:rsidR="00526249" w:rsidRDefault="007D3A55">
      <w:r>
        <w:rPr>
          <w:noProof/>
        </w:rPr>
      </w:r>
      <w:r>
        <w:pict w14:anchorId="2701CCE9">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5ECBA7D" w14:textId="77777777" w:rsidR="00526249" w:rsidRDefault="00000000">
      <w:pPr>
        <w:pStyle w:val="Heading2"/>
      </w:pPr>
      <w:bookmarkStart w:id="1" w:name="the-choice"/>
      <w:r>
        <w:t>1. The choice</w:t>
      </w:r>
    </w:p>
    <w:p w14:paraId="55BB1FE8" w14:textId="77777777" w:rsidR="00526249" w:rsidRDefault="00000000">
      <w:pPr>
        <w:pStyle w:val="FirstParagraph"/>
      </w:pPr>
      <w:r>
        <w:t xml:space="preserve">Both arms are the </w:t>
      </w:r>
      <w:r>
        <w:rPr>
          <w:b/>
          <w:bCs/>
        </w:rPr>
        <w:t>same model and the same objective</w:t>
      </w:r>
      <w:r>
        <w:t>. They differ only in what the Antarctic likelihood is fitted to, and in one noise-model setting:</w:t>
      </w:r>
    </w:p>
    <w:tbl>
      <w:tblPr>
        <w:tblStyle w:val="Table"/>
        <w:tblW w:w="5000" w:type="pct"/>
        <w:tblLayout w:type="fixed"/>
        <w:tblLook w:val="0020" w:firstRow="1" w:lastRow="0" w:firstColumn="0" w:lastColumn="0" w:noHBand="0" w:noVBand="0"/>
      </w:tblPr>
      <w:tblGrid>
        <w:gridCol w:w="2059"/>
        <w:gridCol w:w="5149"/>
        <w:gridCol w:w="2152"/>
      </w:tblGrid>
      <w:tr w:rsidR="00526249" w14:paraId="6957A7C9" w14:textId="77777777" w:rsidTr="00526249">
        <w:trPr>
          <w:cnfStyle w:val="100000000000" w:firstRow="1" w:lastRow="0" w:firstColumn="0" w:lastColumn="0" w:oddVBand="0" w:evenVBand="0" w:oddHBand="0" w:evenHBand="0" w:firstRowFirstColumn="0" w:firstRowLastColumn="0" w:lastRowFirstColumn="0" w:lastRowLastColumn="0"/>
          <w:tblHeader/>
        </w:trPr>
        <w:tc>
          <w:tcPr>
            <w:tcW w:w="1742" w:type="dxa"/>
          </w:tcPr>
          <w:p w14:paraId="06C3E099" w14:textId="77777777" w:rsidR="00526249" w:rsidRDefault="00526249">
            <w:pPr>
              <w:pStyle w:val="Compact"/>
            </w:pPr>
          </w:p>
        </w:tc>
        <w:tc>
          <w:tcPr>
            <w:tcW w:w="4356" w:type="dxa"/>
          </w:tcPr>
          <w:p w14:paraId="238C14D7" w14:textId="77777777" w:rsidR="00526249" w:rsidRDefault="00000000">
            <w:pPr>
              <w:pStyle w:val="Compact"/>
            </w:pPr>
            <w:r>
              <w:t>fitted AIS target</w:t>
            </w:r>
          </w:p>
        </w:tc>
        <w:tc>
          <w:tcPr>
            <w:tcW w:w="1821" w:type="dxa"/>
          </w:tcPr>
          <w:p w14:paraId="50084BFA" w14:textId="77777777" w:rsidR="00526249" w:rsidRDefault="00000000">
            <w:pPr>
              <w:pStyle w:val="Compact"/>
            </w:pPr>
            <w:r>
              <w:rPr>
                <w:rStyle w:val="VerbatimChar"/>
              </w:rPr>
              <w:t>sd_ais</w:t>
            </w:r>
          </w:p>
        </w:tc>
      </w:tr>
      <w:tr w:rsidR="00526249" w14:paraId="538C7B7C" w14:textId="77777777">
        <w:tc>
          <w:tcPr>
            <w:tcW w:w="1742" w:type="dxa"/>
          </w:tcPr>
          <w:p w14:paraId="62CCAE6C" w14:textId="77777777" w:rsidR="00526249" w:rsidRDefault="00000000">
            <w:pPr>
              <w:pStyle w:val="Compact"/>
            </w:pPr>
            <w:r>
              <w:rPr>
                <w:b/>
                <w:bCs/>
              </w:rPr>
              <w:t>L27</w:t>
            </w:r>
            <w:r>
              <w:t xml:space="preserve"> — shipped champion</w:t>
            </w:r>
          </w:p>
        </w:tc>
        <w:tc>
          <w:tcPr>
            <w:tcW w:w="4356" w:type="dxa"/>
          </w:tcPr>
          <w:p w14:paraId="614C4E5B" w14:textId="77777777" w:rsidR="00526249" w:rsidRDefault="00000000">
            <w:pPr>
              <w:pStyle w:val="Compact"/>
            </w:pPr>
            <w:r>
              <w:t>Frederikse 1900–2018 + GRACE 2019–2026</w:t>
            </w:r>
          </w:p>
        </w:tc>
        <w:tc>
          <w:tcPr>
            <w:tcW w:w="1821" w:type="dxa"/>
          </w:tcPr>
          <w:p w14:paraId="4766F331" w14:textId="77777777" w:rsidR="00526249" w:rsidRDefault="00000000">
            <w:pPr>
              <w:pStyle w:val="Compact"/>
            </w:pPr>
            <w:r>
              <w:t>free</w:t>
            </w:r>
          </w:p>
        </w:tc>
      </w:tr>
      <w:tr w:rsidR="00526249" w14:paraId="1CECC09D" w14:textId="77777777">
        <w:tc>
          <w:tcPr>
            <w:tcW w:w="1742" w:type="dxa"/>
          </w:tcPr>
          <w:p w14:paraId="4F6A3856" w14:textId="77777777" w:rsidR="00526249" w:rsidRDefault="00000000">
            <w:pPr>
              <w:pStyle w:val="Compact"/>
            </w:pPr>
            <w:r>
              <w:rPr>
                <w:b/>
                <w:bCs/>
              </w:rPr>
              <w:t>L32</w:t>
            </w:r>
            <w:r>
              <w:t xml:space="preserve"> — candidate</w:t>
            </w:r>
          </w:p>
        </w:tc>
        <w:tc>
          <w:tcPr>
            <w:tcW w:w="4356" w:type="dxa"/>
          </w:tcPr>
          <w:p w14:paraId="3900117C" w14:textId="77777777" w:rsidR="00526249" w:rsidRDefault="00000000">
            <w:pPr>
              <w:pStyle w:val="Compact"/>
            </w:pPr>
            <w:r>
              <w:t xml:space="preserve">Frederikse 1900–78 + </w:t>
            </w:r>
            <w:r>
              <w:rPr>
                <w:b/>
                <w:bCs/>
              </w:rPr>
              <w:t>IMBIE 2026</w:t>
            </w:r>
            <w:r>
              <w:t xml:space="preserve"> 1979–2023 + GRACE 2024–26</w:t>
            </w:r>
          </w:p>
        </w:tc>
        <w:tc>
          <w:tcPr>
            <w:tcW w:w="1821" w:type="dxa"/>
          </w:tcPr>
          <w:p w14:paraId="52AB9E82" w14:textId="77777777" w:rsidR="00526249" w:rsidRDefault="00000000">
            <w:pPr>
              <w:pStyle w:val="Compact"/>
            </w:pPr>
            <w:r>
              <w:t>floored at the SMB-derived 0.03259 cm</w:t>
            </w:r>
          </w:p>
        </w:tc>
      </w:tr>
    </w:tbl>
    <w:p w14:paraId="41A60347" w14:textId="77777777" w:rsidR="00526249" w:rsidRDefault="00000000">
      <w:pPr>
        <w:pStyle w:val="BodyText"/>
      </w:pPr>
      <w:r>
        <w:rPr>
          <w:b/>
          <w:bCs/>
        </w:rPr>
        <w:t>Everything outside Antarctica is unaffected.</w:t>
      </w:r>
      <w:r>
        <w:t xml:space="preserve"> Glaciers, Greenland and thermal expansion agree to two decimal places between the arms (0.69 / 1.07 / 1.51 σ). The AIS component is the only thing in question.</w:t>
      </w:r>
    </w:p>
    <w:p w14:paraId="18D89622" w14:textId="77777777" w:rsidR="00526249" w:rsidRDefault="00000000">
      <w:pPr>
        <w:pStyle w:val="Heading2"/>
      </w:pPr>
      <w:bookmarkStart w:id="2" w:name="the-numbers-all-on-one-ruler"/>
      <w:bookmarkEnd w:id="1"/>
      <w:r>
        <w:t>2. The numbers, all on one ruler</w:t>
      </w:r>
    </w:p>
    <w:p w14:paraId="480459F0" w14:textId="77777777" w:rsidR="00526249" w:rsidRDefault="00000000">
      <w:pPr>
        <w:pStyle w:val="FirstParagraph"/>
      </w:pPr>
      <w:r>
        <w:t>Scored against the IMBIE-2026 target, one benchmark run, frozen champion snapshot. AIS RMSE in units of the AIS target's own 1σ (0.1674 cm); lower is better.</w:t>
      </w:r>
    </w:p>
    <w:tbl>
      <w:tblPr>
        <w:tblStyle w:val="Table"/>
        <w:tblW w:w="5000" w:type="pct"/>
        <w:tblLayout w:type="fixed"/>
        <w:tblLook w:val="0020" w:firstRow="1" w:lastRow="0" w:firstColumn="0" w:lastColumn="0" w:noHBand="0" w:noVBand="0"/>
      </w:tblPr>
      <w:tblGrid>
        <w:gridCol w:w="5149"/>
        <w:gridCol w:w="1403"/>
        <w:gridCol w:w="1778"/>
        <w:gridCol w:w="1030"/>
      </w:tblGrid>
      <w:tr w:rsidR="00526249" w14:paraId="7F862F27" w14:textId="77777777" w:rsidTr="00526249">
        <w:trPr>
          <w:cnfStyle w:val="100000000000" w:firstRow="1" w:lastRow="0" w:firstColumn="0" w:lastColumn="0" w:oddVBand="0" w:evenVBand="0" w:oddHBand="0" w:evenHBand="0" w:firstRowFirstColumn="0" w:firstRowLastColumn="0" w:lastRowFirstColumn="0" w:lastRowLastColumn="0"/>
          <w:tblHeader/>
        </w:trPr>
        <w:tc>
          <w:tcPr>
            <w:tcW w:w="4355" w:type="dxa"/>
          </w:tcPr>
          <w:p w14:paraId="69FB1FE1" w14:textId="77777777" w:rsidR="00526249" w:rsidRDefault="00000000">
            <w:pPr>
              <w:pStyle w:val="Compact"/>
            </w:pPr>
            <w:r>
              <w:t>statistic</w:t>
            </w:r>
          </w:p>
        </w:tc>
        <w:tc>
          <w:tcPr>
            <w:tcW w:w="1187" w:type="dxa"/>
          </w:tcPr>
          <w:p w14:paraId="6202F6D1" w14:textId="77777777" w:rsidR="00526249" w:rsidRDefault="00000000">
            <w:pPr>
              <w:pStyle w:val="Compact"/>
            </w:pPr>
            <w:r>
              <w:rPr>
                <w:b/>
                <w:bCs/>
              </w:rPr>
              <w:t>L27</w:t>
            </w:r>
          </w:p>
        </w:tc>
        <w:tc>
          <w:tcPr>
            <w:tcW w:w="1504" w:type="dxa"/>
          </w:tcPr>
          <w:p w14:paraId="26C3A856" w14:textId="77777777" w:rsidR="00526249" w:rsidRDefault="00000000">
            <w:pPr>
              <w:pStyle w:val="Compact"/>
            </w:pPr>
            <w:r>
              <w:rPr>
                <w:b/>
                <w:bCs/>
              </w:rPr>
              <w:t>L32</w:t>
            </w:r>
          </w:p>
        </w:tc>
        <w:tc>
          <w:tcPr>
            <w:tcW w:w="871" w:type="dxa"/>
          </w:tcPr>
          <w:p w14:paraId="3B1DC11C" w14:textId="77777777" w:rsidR="00526249" w:rsidRDefault="00000000">
            <w:pPr>
              <w:pStyle w:val="Compact"/>
            </w:pPr>
            <w:r>
              <w:t>observation</w:t>
            </w:r>
          </w:p>
        </w:tc>
      </w:tr>
      <w:tr w:rsidR="00526249" w14:paraId="46798F1C" w14:textId="77777777">
        <w:tc>
          <w:tcPr>
            <w:tcW w:w="4355" w:type="dxa"/>
          </w:tcPr>
          <w:p w14:paraId="59CBDF28" w14:textId="77777777" w:rsidR="00526249" w:rsidRDefault="00000000">
            <w:pPr>
              <w:pStyle w:val="Compact"/>
            </w:pPr>
            <w:r>
              <w:t xml:space="preserve">AIS RMSE, </w:t>
            </w:r>
            <w:r>
              <w:rPr>
                <w:b/>
                <w:bCs/>
              </w:rPr>
              <w:t>full period</w:t>
            </w:r>
            <w:r>
              <w:t xml:space="preserve"> 1900–2026</w:t>
            </w:r>
          </w:p>
        </w:tc>
        <w:tc>
          <w:tcPr>
            <w:tcW w:w="1187" w:type="dxa"/>
          </w:tcPr>
          <w:p w14:paraId="7D3CE243" w14:textId="77777777" w:rsidR="00526249" w:rsidRDefault="00000000">
            <w:pPr>
              <w:pStyle w:val="Compact"/>
            </w:pPr>
            <w:r>
              <w:rPr>
                <w:b/>
                <w:bCs/>
              </w:rPr>
              <w:t>0.70</w:t>
            </w:r>
          </w:p>
        </w:tc>
        <w:tc>
          <w:tcPr>
            <w:tcW w:w="1504" w:type="dxa"/>
          </w:tcPr>
          <w:p w14:paraId="23C1114A" w14:textId="77777777" w:rsidR="00526249" w:rsidRDefault="00000000">
            <w:pPr>
              <w:pStyle w:val="Compact"/>
            </w:pPr>
            <w:r>
              <w:t>0.88</w:t>
            </w:r>
          </w:p>
        </w:tc>
        <w:tc>
          <w:tcPr>
            <w:tcW w:w="871" w:type="dxa"/>
          </w:tcPr>
          <w:p w14:paraId="40C0FB68" w14:textId="77777777" w:rsidR="00526249" w:rsidRDefault="00000000">
            <w:pPr>
              <w:pStyle w:val="Compact"/>
            </w:pPr>
            <w:r>
              <w:t>—</w:t>
            </w:r>
          </w:p>
        </w:tc>
      </w:tr>
      <w:tr w:rsidR="00526249" w14:paraId="10D27893" w14:textId="77777777">
        <w:tc>
          <w:tcPr>
            <w:tcW w:w="4355" w:type="dxa"/>
          </w:tcPr>
          <w:p w14:paraId="40740634" w14:textId="77777777" w:rsidR="00526249" w:rsidRDefault="00000000">
            <w:pPr>
              <w:pStyle w:val="Compact"/>
            </w:pPr>
            <w:r>
              <w:t>AIS RMSE, 1920–1949</w:t>
            </w:r>
          </w:p>
        </w:tc>
        <w:tc>
          <w:tcPr>
            <w:tcW w:w="1187" w:type="dxa"/>
          </w:tcPr>
          <w:p w14:paraId="3E1EDB59" w14:textId="77777777" w:rsidR="00526249" w:rsidRDefault="00000000">
            <w:pPr>
              <w:pStyle w:val="Compact"/>
            </w:pPr>
            <w:r>
              <w:rPr>
                <w:b/>
                <w:bCs/>
              </w:rPr>
              <w:t>0.08</w:t>
            </w:r>
          </w:p>
        </w:tc>
        <w:tc>
          <w:tcPr>
            <w:tcW w:w="1504" w:type="dxa"/>
          </w:tcPr>
          <w:p w14:paraId="40D1B2BC" w14:textId="77777777" w:rsidR="00526249" w:rsidRDefault="00000000">
            <w:pPr>
              <w:pStyle w:val="Compact"/>
            </w:pPr>
            <w:r>
              <w:t>1.07</w:t>
            </w:r>
          </w:p>
        </w:tc>
        <w:tc>
          <w:tcPr>
            <w:tcW w:w="871" w:type="dxa"/>
          </w:tcPr>
          <w:p w14:paraId="47C2A220" w14:textId="77777777" w:rsidR="00526249" w:rsidRDefault="00000000">
            <w:pPr>
              <w:pStyle w:val="Compact"/>
            </w:pPr>
            <w:r>
              <w:t>—</w:t>
            </w:r>
          </w:p>
        </w:tc>
      </w:tr>
      <w:tr w:rsidR="00526249" w14:paraId="493FB8AC" w14:textId="77777777">
        <w:tc>
          <w:tcPr>
            <w:tcW w:w="4355" w:type="dxa"/>
          </w:tcPr>
          <w:p w14:paraId="756855CC" w14:textId="77777777" w:rsidR="00526249" w:rsidRDefault="00000000">
            <w:pPr>
              <w:pStyle w:val="Compact"/>
            </w:pPr>
            <w:r>
              <w:t>AIS RMSE, 1950–1992</w:t>
            </w:r>
          </w:p>
        </w:tc>
        <w:tc>
          <w:tcPr>
            <w:tcW w:w="1187" w:type="dxa"/>
          </w:tcPr>
          <w:p w14:paraId="3EB06E5E" w14:textId="77777777" w:rsidR="00526249" w:rsidRDefault="00000000">
            <w:pPr>
              <w:pStyle w:val="Compact"/>
            </w:pPr>
            <w:r>
              <w:rPr>
                <w:b/>
                <w:bCs/>
              </w:rPr>
              <w:t>0.37</w:t>
            </w:r>
          </w:p>
        </w:tc>
        <w:tc>
          <w:tcPr>
            <w:tcW w:w="1504" w:type="dxa"/>
          </w:tcPr>
          <w:p w14:paraId="1186DE59" w14:textId="77777777" w:rsidR="00526249" w:rsidRDefault="00000000">
            <w:pPr>
              <w:pStyle w:val="Compact"/>
            </w:pPr>
            <w:r>
              <w:t>0.47</w:t>
            </w:r>
          </w:p>
        </w:tc>
        <w:tc>
          <w:tcPr>
            <w:tcW w:w="871" w:type="dxa"/>
          </w:tcPr>
          <w:p w14:paraId="7E0CB9C5" w14:textId="77777777" w:rsidR="00526249" w:rsidRDefault="00000000">
            <w:pPr>
              <w:pStyle w:val="Compact"/>
            </w:pPr>
            <w:r>
              <w:t>—</w:t>
            </w:r>
          </w:p>
        </w:tc>
      </w:tr>
      <w:tr w:rsidR="00526249" w14:paraId="0CDC0F60" w14:textId="77777777">
        <w:tc>
          <w:tcPr>
            <w:tcW w:w="4355" w:type="dxa"/>
          </w:tcPr>
          <w:p w14:paraId="2C9C6CF0" w14:textId="77777777" w:rsidR="00526249" w:rsidRDefault="00000000">
            <w:pPr>
              <w:pStyle w:val="Compact"/>
            </w:pPr>
            <w:r>
              <w:t xml:space="preserve">AIS RMSE, </w:t>
            </w:r>
            <w:r>
              <w:rPr>
                <w:b/>
                <w:bCs/>
              </w:rPr>
              <w:t>1993–2026</w:t>
            </w:r>
            <w:r>
              <w:t xml:space="preserve"> (satellite era)</w:t>
            </w:r>
          </w:p>
        </w:tc>
        <w:tc>
          <w:tcPr>
            <w:tcW w:w="1187" w:type="dxa"/>
          </w:tcPr>
          <w:p w14:paraId="080BED7C" w14:textId="77777777" w:rsidR="00526249" w:rsidRDefault="00000000">
            <w:pPr>
              <w:pStyle w:val="Compact"/>
            </w:pPr>
            <w:r>
              <w:t>1.27</w:t>
            </w:r>
          </w:p>
        </w:tc>
        <w:tc>
          <w:tcPr>
            <w:tcW w:w="1504" w:type="dxa"/>
          </w:tcPr>
          <w:p w14:paraId="4CA26DA9" w14:textId="77777777" w:rsidR="00526249" w:rsidRDefault="00000000">
            <w:pPr>
              <w:pStyle w:val="Compact"/>
            </w:pPr>
            <w:r>
              <w:rPr>
                <w:b/>
                <w:bCs/>
              </w:rPr>
              <w:t>1.01</w:t>
            </w:r>
          </w:p>
        </w:tc>
        <w:tc>
          <w:tcPr>
            <w:tcW w:w="871" w:type="dxa"/>
          </w:tcPr>
          <w:p w14:paraId="0E55CE67" w14:textId="77777777" w:rsidR="00526249" w:rsidRDefault="00000000">
            <w:pPr>
              <w:pStyle w:val="Compact"/>
            </w:pPr>
            <w:r>
              <w:t>—</w:t>
            </w:r>
          </w:p>
        </w:tc>
      </w:tr>
      <w:tr w:rsidR="00526249" w14:paraId="668C5ED4" w14:textId="77777777">
        <w:tc>
          <w:tcPr>
            <w:tcW w:w="4355" w:type="dxa"/>
          </w:tcPr>
          <w:p w14:paraId="71469410" w14:textId="77777777" w:rsidR="00526249" w:rsidRDefault="00000000">
            <w:pPr>
              <w:pStyle w:val="Compact"/>
            </w:pPr>
            <w:r>
              <w:t>90 % coverage, 1993–2026</w:t>
            </w:r>
          </w:p>
        </w:tc>
        <w:tc>
          <w:tcPr>
            <w:tcW w:w="1187" w:type="dxa"/>
          </w:tcPr>
          <w:p w14:paraId="3BAB20E0" w14:textId="77777777" w:rsidR="00526249" w:rsidRDefault="00000000">
            <w:pPr>
              <w:pStyle w:val="Compact"/>
            </w:pPr>
            <w:r>
              <w:t>3 %</w:t>
            </w:r>
          </w:p>
        </w:tc>
        <w:tc>
          <w:tcPr>
            <w:tcW w:w="1504" w:type="dxa"/>
          </w:tcPr>
          <w:p w14:paraId="2F18FCFB" w14:textId="77777777" w:rsidR="00526249" w:rsidRDefault="00000000">
            <w:pPr>
              <w:pStyle w:val="Compact"/>
            </w:pPr>
            <w:r>
              <w:rPr>
                <w:b/>
                <w:bCs/>
              </w:rPr>
              <w:t>27 %</w:t>
            </w:r>
          </w:p>
        </w:tc>
        <w:tc>
          <w:tcPr>
            <w:tcW w:w="871" w:type="dxa"/>
          </w:tcPr>
          <w:p w14:paraId="6CADE739" w14:textId="77777777" w:rsidR="00526249" w:rsidRDefault="00000000">
            <w:pPr>
              <w:pStyle w:val="Compact"/>
            </w:pPr>
            <w:r>
              <w:t>—</w:t>
            </w:r>
          </w:p>
        </w:tc>
      </w:tr>
      <w:tr w:rsidR="00526249" w14:paraId="2CF291E6" w14:textId="77777777">
        <w:tc>
          <w:tcPr>
            <w:tcW w:w="4355" w:type="dxa"/>
          </w:tcPr>
          <w:p w14:paraId="321EE53A" w14:textId="77777777" w:rsidR="00526249" w:rsidRDefault="00000000">
            <w:pPr>
              <w:pStyle w:val="Compact"/>
            </w:pPr>
            <w:r>
              <w:t>Rate z, satellite era</w:t>
            </w:r>
          </w:p>
        </w:tc>
        <w:tc>
          <w:tcPr>
            <w:tcW w:w="1187" w:type="dxa"/>
          </w:tcPr>
          <w:p w14:paraId="664C9F5C" w14:textId="77777777" w:rsidR="00526249" w:rsidRDefault="00000000">
            <w:pPr>
              <w:pStyle w:val="Compact"/>
            </w:pPr>
            <w:r>
              <w:t>−2.42</w:t>
            </w:r>
          </w:p>
        </w:tc>
        <w:tc>
          <w:tcPr>
            <w:tcW w:w="1504" w:type="dxa"/>
          </w:tcPr>
          <w:p w14:paraId="248A7C97" w14:textId="77777777" w:rsidR="00526249" w:rsidRDefault="00000000">
            <w:pPr>
              <w:pStyle w:val="Compact"/>
            </w:pPr>
            <w:r>
              <w:rPr>
                <w:b/>
                <w:bCs/>
              </w:rPr>
              <w:t>−1.79</w:t>
            </w:r>
          </w:p>
        </w:tc>
        <w:tc>
          <w:tcPr>
            <w:tcW w:w="871" w:type="dxa"/>
          </w:tcPr>
          <w:p w14:paraId="6FDA8378" w14:textId="77777777" w:rsidR="00526249" w:rsidRDefault="00000000">
            <w:pPr>
              <w:pStyle w:val="Compact"/>
            </w:pPr>
            <w:r>
              <w:t>—</w:t>
            </w:r>
          </w:p>
        </w:tc>
      </w:tr>
      <w:tr w:rsidR="00526249" w14:paraId="5239605B" w14:textId="77777777">
        <w:tc>
          <w:tcPr>
            <w:tcW w:w="4355" w:type="dxa"/>
          </w:tcPr>
          <w:p w14:paraId="70D3EF68" w14:textId="77777777" w:rsidR="00526249" w:rsidRDefault="00000000">
            <w:pPr>
              <w:pStyle w:val="Compact"/>
            </w:pPr>
            <w:r>
              <w:t>Cumulative level z, 1979–2023</w:t>
            </w:r>
          </w:p>
        </w:tc>
        <w:tc>
          <w:tcPr>
            <w:tcW w:w="1187" w:type="dxa"/>
          </w:tcPr>
          <w:p w14:paraId="0D94543B" w14:textId="77777777" w:rsidR="00526249" w:rsidRDefault="00000000">
            <w:pPr>
              <w:pStyle w:val="Compact"/>
            </w:pPr>
            <w:r>
              <w:t>−2.63</w:t>
            </w:r>
          </w:p>
        </w:tc>
        <w:tc>
          <w:tcPr>
            <w:tcW w:w="1504" w:type="dxa"/>
          </w:tcPr>
          <w:p w14:paraId="0E70210C" w14:textId="77777777" w:rsidR="00526249" w:rsidRDefault="00000000">
            <w:pPr>
              <w:pStyle w:val="Compact"/>
            </w:pPr>
            <w:r>
              <w:rPr>
                <w:b/>
                <w:bCs/>
              </w:rPr>
              <w:t>−1.45</w:t>
            </w:r>
          </w:p>
        </w:tc>
        <w:tc>
          <w:tcPr>
            <w:tcW w:w="871" w:type="dxa"/>
          </w:tcPr>
          <w:p w14:paraId="7EB07304" w14:textId="77777777" w:rsidR="00526249" w:rsidRDefault="00000000">
            <w:pPr>
              <w:pStyle w:val="Compact"/>
            </w:pPr>
            <w:r>
              <w:t>—</w:t>
            </w:r>
          </w:p>
        </w:tc>
      </w:tr>
      <w:tr w:rsidR="00526249" w14:paraId="5EB07C26" w14:textId="77777777">
        <w:tc>
          <w:tcPr>
            <w:tcW w:w="4355" w:type="dxa"/>
          </w:tcPr>
          <w:p w14:paraId="7E325F4B" w14:textId="77777777" w:rsidR="00526249" w:rsidRDefault="00000000">
            <w:pPr>
              <w:pStyle w:val="Compact"/>
            </w:pPr>
            <w:r>
              <w:rPr>
                <w:b/>
                <w:bCs/>
              </w:rPr>
              <w:t>2018–23 dynamics anomaly</w:t>
            </w:r>
            <w:r>
              <w:t xml:space="preserve"> (Gt/yr)</w:t>
            </w:r>
          </w:p>
        </w:tc>
        <w:tc>
          <w:tcPr>
            <w:tcW w:w="1187" w:type="dxa"/>
          </w:tcPr>
          <w:p w14:paraId="6D7EB116" w14:textId="77777777" w:rsidR="00526249" w:rsidRDefault="00000000">
            <w:pPr>
              <w:pStyle w:val="Compact"/>
            </w:pPr>
            <w:r>
              <w:t>−119.1</w:t>
            </w:r>
          </w:p>
        </w:tc>
        <w:tc>
          <w:tcPr>
            <w:tcW w:w="1504" w:type="dxa"/>
          </w:tcPr>
          <w:p w14:paraId="305C87F6" w14:textId="77777777" w:rsidR="00526249" w:rsidRDefault="00000000">
            <w:pPr>
              <w:pStyle w:val="Compact"/>
            </w:pPr>
            <w:r>
              <w:rPr>
                <w:b/>
                <w:bCs/>
              </w:rPr>
              <w:t>−133.1 ± 4.9</w:t>
            </w:r>
          </w:p>
        </w:tc>
        <w:tc>
          <w:tcPr>
            <w:tcW w:w="871" w:type="dxa"/>
          </w:tcPr>
          <w:p w14:paraId="68D8C2A7" w14:textId="77777777" w:rsidR="00526249" w:rsidRDefault="00000000">
            <w:pPr>
              <w:pStyle w:val="Compact"/>
            </w:pPr>
            <w:r>
              <w:t xml:space="preserve">IMBIE </w:t>
            </w:r>
            <w:r>
              <w:rPr>
                <w:b/>
                <w:bCs/>
              </w:rPr>
              <w:t>−167.2</w:t>
            </w:r>
          </w:p>
        </w:tc>
      </w:tr>
      <w:tr w:rsidR="00526249" w14:paraId="0ACE905A" w14:textId="77777777">
        <w:tc>
          <w:tcPr>
            <w:tcW w:w="4355" w:type="dxa"/>
          </w:tcPr>
          <w:p w14:paraId="3397A4D5" w14:textId="77777777" w:rsidR="00526249" w:rsidRDefault="00000000">
            <w:pPr>
              <w:pStyle w:val="Compact"/>
            </w:pPr>
            <w:r>
              <w:t>TOTAL SLR hindcast (σ)</w:t>
            </w:r>
          </w:p>
        </w:tc>
        <w:tc>
          <w:tcPr>
            <w:tcW w:w="1187" w:type="dxa"/>
          </w:tcPr>
          <w:p w14:paraId="5B9B4FDA" w14:textId="77777777" w:rsidR="00526249" w:rsidRDefault="00000000">
            <w:pPr>
              <w:pStyle w:val="Compact"/>
            </w:pPr>
            <w:r>
              <w:t>0.26</w:t>
            </w:r>
          </w:p>
        </w:tc>
        <w:tc>
          <w:tcPr>
            <w:tcW w:w="1504" w:type="dxa"/>
          </w:tcPr>
          <w:p w14:paraId="70533B2E" w14:textId="77777777" w:rsidR="00526249" w:rsidRDefault="00000000">
            <w:pPr>
              <w:pStyle w:val="Compact"/>
            </w:pPr>
            <w:r>
              <w:rPr>
                <w:b/>
                <w:bCs/>
              </w:rPr>
              <w:t>0.22</w:t>
            </w:r>
          </w:p>
        </w:tc>
        <w:tc>
          <w:tcPr>
            <w:tcW w:w="871" w:type="dxa"/>
          </w:tcPr>
          <w:p w14:paraId="44123D82" w14:textId="77777777" w:rsidR="00526249" w:rsidRDefault="00000000">
            <w:pPr>
              <w:pStyle w:val="Compact"/>
            </w:pPr>
            <w:r>
              <w:t>—</w:t>
            </w:r>
          </w:p>
        </w:tc>
      </w:tr>
      <w:tr w:rsidR="00526249" w14:paraId="0520EBEB" w14:textId="77777777">
        <w:tc>
          <w:tcPr>
            <w:tcW w:w="4355" w:type="dxa"/>
          </w:tcPr>
          <w:p w14:paraId="3184844B" w14:textId="77777777" w:rsidR="00526249" w:rsidRDefault="00000000">
            <w:pPr>
              <w:pStyle w:val="Compact"/>
            </w:pPr>
            <w:r>
              <w:t>ΔBIC vs BRICK 2.0 (ρ ≤ 0.99 / 0.95 / 0.90)</w:t>
            </w:r>
          </w:p>
        </w:tc>
        <w:tc>
          <w:tcPr>
            <w:tcW w:w="1187" w:type="dxa"/>
          </w:tcPr>
          <w:p w14:paraId="43D4028B" w14:textId="77777777" w:rsidR="00526249" w:rsidRDefault="00000000">
            <w:pPr>
              <w:pStyle w:val="Compact"/>
            </w:pPr>
            <w:r>
              <w:t>+9.1 / +68.0 / +137.9</w:t>
            </w:r>
          </w:p>
        </w:tc>
        <w:tc>
          <w:tcPr>
            <w:tcW w:w="1504" w:type="dxa"/>
          </w:tcPr>
          <w:p w14:paraId="37726B68" w14:textId="77777777" w:rsidR="00526249" w:rsidRDefault="00000000">
            <w:pPr>
              <w:pStyle w:val="Compact"/>
            </w:pPr>
            <w:r>
              <w:rPr>
                <w:b/>
                <w:bCs/>
              </w:rPr>
              <w:t>+15.4 / +69.8 / +139.1</w:t>
            </w:r>
          </w:p>
        </w:tc>
        <w:tc>
          <w:tcPr>
            <w:tcW w:w="871" w:type="dxa"/>
          </w:tcPr>
          <w:p w14:paraId="3B8F579D" w14:textId="77777777" w:rsidR="00526249" w:rsidRDefault="00000000">
            <w:pPr>
              <w:pStyle w:val="Compact"/>
            </w:pPr>
            <w:r>
              <w:t>both clear the criterio</w:t>
            </w:r>
            <w:r>
              <w:lastRenderedPageBreak/>
              <w:t>n</w:t>
            </w:r>
          </w:p>
        </w:tc>
      </w:tr>
    </w:tbl>
    <w:p w14:paraId="5B074D98" w14:textId="3F84483A" w:rsidR="00526249" w:rsidRDefault="00000000">
      <w:pPr>
        <w:pStyle w:val="BodyText"/>
      </w:pPr>
      <w:r>
        <w:rPr>
          <w:b/>
          <w:bCs/>
        </w:rPr>
        <w:lastRenderedPageBreak/>
        <w:t>Neither arm dominates.</w:t>
      </w:r>
      <w:r>
        <w:t xml:space="preserve"> L27 wins the full period and the two pre-satellite windows; L32 wins every modern-record statistic. </w:t>
      </w:r>
    </w:p>
    <w:p w14:paraId="6B14909F" w14:textId="6DB57ED9" w:rsidR="00526249" w:rsidRDefault="00000000">
      <w:pPr>
        <w:pStyle w:val="Heading2"/>
      </w:pPr>
      <w:bookmarkStart w:id="3" w:name="X36e21d9927c3fd57102c718dc7c0b3c323113f9"/>
      <w:bookmarkEnd w:id="2"/>
      <w:r>
        <w:t>3. Why the trade exists</w:t>
      </w:r>
    </w:p>
    <w:p w14:paraId="0EFD0E50" w14:textId="77777777" w:rsidR="00526249" w:rsidRDefault="00000000">
      <w:pPr>
        <w:pStyle w:val="FirstParagraph"/>
      </w:pPr>
      <w:r>
        <w:t xml:space="preserve">IMBIE's own partition is exact: </w:t>
      </w:r>
      <w:r>
        <w:rPr>
          <w:rStyle w:val="VerbatimChar"/>
        </w:rPr>
        <w:t>net ≡ SMB + dynamics</w:t>
      </w:r>
      <w:r>
        <w:t xml:space="preserve">. Ladrillo's SMB cannot produce the </w:t>
      </w:r>
      <w:r>
        <w:rPr>
          <w:b/>
          <w:bCs/>
        </w:rPr>
        <w:t>+141 Gt/yr</w:t>
      </w:r>
      <w:r>
        <w:t xml:space="preserve"> East-Antarctic snowfall anomaly IMBIE reports for 2018–23 (the module's window anomalies span −20…+27 Gt/yr). With the SMB misfit pinned, </w:t>
      </w:r>
      <w:r>
        <w:rPr>
          <w:b/>
          <w:bCs/>
        </w:rPr>
        <w:t>every Gt/yr gained on the net mass balance transfers one-for-one into the dynamics error.</w:t>
      </w:r>
    </w:p>
    <w:p w14:paraId="28EE9A68" w14:textId="77777777" w:rsidR="00526249" w:rsidRDefault="00000000">
      <w:pPr>
        <w:pStyle w:val="Heading2"/>
      </w:pPr>
      <w:bookmarkStart w:id="4" w:name="l27-pros-and-cons"/>
      <w:bookmarkEnd w:id="3"/>
      <w:r>
        <w:t>4. L27 — pros and cons</w:t>
      </w:r>
    </w:p>
    <w:p w14:paraId="64A65CD3" w14:textId="6FE8B478" w:rsidR="00526249" w:rsidRDefault="00000000">
      <w:pPr>
        <w:pStyle w:val="FirstParagraph"/>
      </w:pPr>
      <w:r>
        <w:rPr>
          <w:b/>
          <w:bCs/>
        </w:rPr>
        <w:t>Pros</w:t>
      </w:r>
      <w:r>
        <w:t xml:space="preserve"> - Best full-period Antarctic hindcast of any arm (0.70 σ). - Near-exact in the reconstruction era (0.08 σ over 1920–49). - The dynamics-record null it supports is a defensible published result: its worst dynamics misfit (+48.1 Gt/yr, 2018–23) is </w:t>
      </w:r>
      <w:r>
        <w:rPr>
          <w:b/>
          <w:bCs/>
        </w:rPr>
        <w:t>0.4 of IMBIE's own σ</w:t>
      </w:r>
      <w:r>
        <w:t xml:space="preserve"> (130 Gt/yr).</w:t>
      </w:r>
    </w:p>
    <w:p w14:paraId="5D43EAB5" w14:textId="77777777" w:rsidR="00526249" w:rsidRDefault="00000000">
      <w:pPr>
        <w:pStyle w:val="BodyText"/>
      </w:pPr>
      <w:r>
        <w:rPr>
          <w:b/>
          <w:bCs/>
        </w:rPr>
        <w:t>Cons</w:t>
      </w:r>
      <w:r>
        <w:t xml:space="preserve"> - Worst satellite-era fit of the two (1.27 σ) with </w:t>
      </w:r>
      <w:r>
        <w:rPr>
          <w:b/>
          <w:bCs/>
        </w:rPr>
        <w:t>3 % coverage</w:t>
      </w:r>
      <w:r>
        <w:t xml:space="preserve"> — it essentially misses the modern record's uncertainty band. - Rate z −2.42: the modern acceleration is under-reproduced. - Its </w:t>
      </w:r>
      <w:r>
        <w:rPr>
          <w:rStyle w:val="VerbatimChar"/>
        </w:rPr>
        <w:t>sd_ais</w:t>
      </w:r>
      <w:r>
        <w:t xml:space="preserve"> (0.02162 cm) sits a factor </w:t>
      </w:r>
      <w:r>
        <w:rPr>
          <w:b/>
          <w:bCs/>
        </w:rPr>
        <w:t>1.51 below</w:t>
      </w:r>
      <w:r>
        <w:t xml:space="preserve"> the SMB-derived floor, i.e. the likelihood chose an interannual noise level the observational record excludes. - Sits on the net/dynamics constraint line; cannot improve one channel without paying the other.</w:t>
      </w:r>
    </w:p>
    <w:p w14:paraId="11901CB7" w14:textId="77777777" w:rsidR="00526249" w:rsidRDefault="00000000">
      <w:pPr>
        <w:pStyle w:val="Heading2"/>
      </w:pPr>
      <w:bookmarkStart w:id="5" w:name="l32-pros-and-cons"/>
      <w:bookmarkEnd w:id="4"/>
      <w:r>
        <w:t>5. L32 — pros and cons</w:t>
      </w:r>
    </w:p>
    <w:p w14:paraId="60AA4EBA" w14:textId="31A91AE6" w:rsidR="00526249" w:rsidRDefault="00000000">
      <w:pPr>
        <w:pStyle w:val="FirstParagraph"/>
      </w:pPr>
      <w:r>
        <w:rPr>
          <w:b/>
          <w:bCs/>
        </w:rPr>
        <w:t>Pros</w:t>
      </w:r>
      <w:r>
        <w:t xml:space="preserve"> - Best modern record of any arm on level, rate, coverage and dynamics simultaneously. </w:t>
      </w:r>
      <w:r w:rsidR="001A1B0F">
        <w:t xml:space="preserve">- </w:t>
      </w:r>
      <w:r>
        <w:t>Beats L27 against BRICK 2.0 at every autocorrelation bound. - Better TOTAL SLR hindcast (0.22 vs 0.26 σ). - Noise specification is consistent with the observed SMB variability rather than free. - Robust to the floor's value: a 34 % cut (L33) keeps the dynamics gain (−126.2).</w:t>
      </w:r>
    </w:p>
    <w:p w14:paraId="009B22E5" w14:textId="3F79CA5D" w:rsidR="00526249" w:rsidRDefault="00000000">
      <w:pPr>
        <w:pStyle w:val="BodyText"/>
      </w:pPr>
      <w:r>
        <w:rPr>
          <w:b/>
          <w:bCs/>
        </w:rPr>
        <w:t>Cons</w:t>
      </w:r>
      <w:r>
        <w:t xml:space="preserve"> - Loses the full period (0.88 vs 0.70 σ) and badly loses 1920–49 (1.07 vs 0.08 σ). - Its advantage is partly in-sample: it is fitted to the record it is scored best on (§6).</w:t>
      </w:r>
    </w:p>
    <w:p w14:paraId="5A965F31" w14:textId="079EC409" w:rsidR="00526249" w:rsidRDefault="00000000">
      <w:pPr>
        <w:pStyle w:val="Heading2"/>
      </w:pPr>
      <w:bookmarkStart w:id="6" w:name="X933b27157e4401a770519b17f70d0179436e655"/>
      <w:bookmarkEnd w:id="5"/>
      <w:r>
        <w:t>6. What the evidence CANNOT settle</w:t>
      </w:r>
    </w:p>
    <w:p w14:paraId="55CEB6E3" w14:textId="13B3898C" w:rsidR="00526249" w:rsidRDefault="00000000">
      <w:pPr>
        <w:pStyle w:val="FirstParagraph"/>
      </w:pPr>
      <w:r>
        <w:rPr>
          <w:b/>
          <w:bCs/>
        </w:rPr>
        <w:t>(a) The information criteria cannot adjudicate this pair.</w:t>
      </w:r>
      <w:r>
        <w:t xml:space="preserve"> Three independent reasons: 1. The two arms have </w:t>
      </w:r>
      <w:r>
        <w:rPr>
          <w:b/>
          <w:bCs/>
        </w:rPr>
        <w:t>identical k</w:t>
      </w:r>
      <w:r>
        <w:t xml:space="preserve"> (50 free / 42 physical) ⇒ ΔAIC = ΔBIC = −2ΔlnL exactly. 2. The only common target available </w:t>
      </w:r>
      <w:r>
        <w:rPr>
          <w:b/>
          <w:bCs/>
        </w:rPr>
        <w:t>is L32's own training data.</w:t>
      </w:r>
      <w:r>
        <w:t xml:space="preserve"> 3. The IC </w:t>
      </w:r>
      <w:r>
        <w:rPr>
          <w:b/>
          <w:bCs/>
        </w:rPr>
        <w:t>profiles</w:t>
      </w:r>
      <w:r>
        <w:t xml:space="preserve"> σ and ρ per draw, so L32's bounded </w:t>
      </w:r>
      <w:r>
        <w:rPr>
          <w:rStyle w:val="VerbatimChar"/>
        </w:rPr>
        <w:t>sd_ais</w:t>
      </w:r>
      <w:r>
        <w:t xml:space="preserve"> — the </w:t>
      </w:r>
      <w:r w:rsidR="001A1B0F">
        <w:t>key</w:t>
      </w:r>
      <w:r>
        <w:t xml:space="preserve"> intervention — never enters the comparison.</w:t>
      </w:r>
    </w:p>
    <w:p w14:paraId="764B10D5" w14:textId="69B07AC0" w:rsidR="00526249" w:rsidRDefault="00000000">
      <w:pPr>
        <w:pStyle w:val="BodyText"/>
      </w:pPr>
      <w:r>
        <w:rPr>
          <w:b/>
          <w:bCs/>
        </w:rPr>
        <w:t>(b) A held-out test cannot be built from either candidate.</w:t>
      </w:r>
      <w:r>
        <w:t xml:space="preserve"> - IMBIE's regional breakdown is an </w:t>
      </w:r>
      <w:r>
        <w:rPr>
          <w:b/>
          <w:bCs/>
        </w:rPr>
        <w:t>exact partition</w:t>
      </w:r>
      <w:r>
        <w:t xml:space="preserve"> of the continental record (West + East + Peninsula − continental = 0.00 </w:t>
      </w:r>
      <w:r>
        <w:lastRenderedPageBreak/>
        <w:t xml:space="preserve">Gt at every year), and the continental sum is L32's training data. DAIS also has no regional degree of freedom. - </w:t>
      </w:r>
      <w:r>
        <w:rPr>
          <w:b/>
          <w:bCs/>
        </w:rPr>
        <w:t>GRACE is spliced into the fitted target of both arms</w:t>
      </w:r>
      <w:r>
        <w:t xml:space="preserve"> (L27: 8 years, 2019–26; L32: 3 years, 2024–26). Over 2002–2018 the contamination runs the </w:t>
      </w:r>
      <w:r>
        <w:rPr>
          <w:i/>
          <w:iCs/>
        </w:rPr>
        <w:t>other</w:t>
      </w:r>
      <w:r>
        <w:t xml:space="preserve"> way — Frederikse for L27, IMBIE for L32, and IMBIE reconciles gravimetry ⇒ </w:t>
      </w:r>
      <w:r>
        <w:rPr>
          <w:b/>
          <w:bCs/>
        </w:rPr>
        <w:t>a GRACE score is biased toward L32.</w:t>
      </w:r>
      <w:r>
        <w:t xml:space="preserve"> </w:t>
      </w:r>
    </w:p>
    <w:p w14:paraId="38D1AA93" w14:textId="77777777" w:rsidR="00526249" w:rsidRDefault="00000000">
      <w:pPr>
        <w:pStyle w:val="BodyText"/>
      </w:pPr>
      <w:r>
        <w:t xml:space="preserve">⇒ </w:t>
      </w:r>
      <w:r>
        <w:rPr>
          <w:b/>
          <w:bCs/>
        </w:rPr>
        <w:t>There is no scorer that settles this. It is a judgement about what the Antarctic module is for: hindcasting the reconstruction era, or tracking the modern record.</w:t>
      </w:r>
    </w:p>
    <w:p w14:paraId="5E899228" w14:textId="77777777" w:rsidR="00526249" w:rsidRDefault="00000000">
      <w:pPr>
        <w:pStyle w:val="Heading2"/>
      </w:pPr>
      <w:bookmarkStart w:id="7" w:name="closed-and-open"/>
      <w:bookmarkEnd w:id="6"/>
      <w:r>
        <w:t>7. Closed, and open</w:t>
      </w:r>
    </w:p>
    <w:p w14:paraId="5EB8F0AE" w14:textId="77777777" w:rsidR="00526249" w:rsidRDefault="00000000">
      <w:pPr>
        <w:pStyle w:val="FirstParagraph"/>
      </w:pPr>
      <w:r>
        <w:rPr>
          <w:b/>
          <w:bCs/>
        </w:rPr>
        <w:t>Closed — every structural degree of freedom tried on DAIS is dead:</w:t>
      </w:r>
      <w:r>
        <w:t xml:space="preserve"> a discharge ramp (L30, the likelihood declined it and a power test confirms the objective is not blind — 95.7 % recovery of a synthetic ramp), a free exponent on the ocean-temperature ratio (inert; needs n≈20 against IMBIE's 2.02×), a ρ cap (L29, indistinguishable from L28 on every channel), and a dynamics likelihood channel (a 3.6–16× </w:t>
      </w:r>
      <w:r>
        <w:rPr>
          <w:i/>
          <w:iCs/>
        </w:rPr>
        <w:t>weaker</w:t>
      </w:r>
      <w:r>
        <w:t xml:space="preserve"> copy of the level channel's pull, not a corrective).</w:t>
      </w:r>
    </w:p>
    <w:p w14:paraId="77F62F7B" w14:textId="77777777" w:rsidR="00526249" w:rsidRDefault="00000000">
      <w:pPr>
        <w:pStyle w:val="BodyText"/>
      </w:pPr>
      <w:r>
        <w:rPr>
          <w:b/>
          <w:bCs/>
        </w:rPr>
        <w:t>Closed today — the noise fix alone does not work.</w:t>
      </w:r>
      <w:r>
        <w:t xml:space="preserve"> L34 = L27's target + the SMB floor, run 2026-09-24: full-period AIS </w:t>
      </w:r>
      <w:r>
        <w:rPr>
          <w:b/>
          <w:bCs/>
        </w:rPr>
        <w:t>0.73 σ</w:t>
      </w:r>
      <w:r>
        <w:t xml:space="preserve"> (vs L27 0.70), satellite era </w:t>
      </w:r>
      <w:r>
        <w:rPr>
          <w:b/>
          <w:bCs/>
        </w:rPr>
        <w:t>1.32</w:t>
      </w:r>
      <w:r>
        <w:t xml:space="preserve"> (vs 1.27), dynamics anomaly </w:t>
      </w:r>
      <w:r>
        <w:rPr>
          <w:b/>
          <w:bCs/>
        </w:rPr>
        <w:t>−117.2 ± 1.6</w:t>
      </w:r>
      <w:r>
        <w:t xml:space="preserve"> against L27's −116.2 ± 1.5 — indistinguishable. The floor is </w:t>
      </w:r>
      <w:r>
        <w:rPr>
          <w:b/>
          <w:bCs/>
        </w:rPr>
        <w:t>target-dependent</w:t>
      </w:r>
      <w:r>
        <w:t xml:space="preserve">: it moves the dynamics anomaly by ~1 Gt/yr on Frederikse and by ~62 Gt/yr on IMBIE. </w:t>
      </w:r>
      <w:r>
        <w:rPr>
          <w:b/>
          <w:bCs/>
        </w:rPr>
        <w:t>L32's gains come from the target, not the noise specification</w:t>
      </w:r>
      <w:r>
        <w:t>, and the champion cannot be improved without the target swap.</w:t>
      </w:r>
    </w:p>
    <w:p w14:paraId="3A886D95" w14:textId="77777777" w:rsidR="00526249" w:rsidRDefault="00000000">
      <w:pPr>
        <w:pStyle w:val="BodyText"/>
      </w:pPr>
      <w:r>
        <w:rPr>
          <w:b/>
          <w:bCs/>
        </w:rPr>
        <w:t>Closed today — L33 does not displace L32 as the IMBIE-side arm.</w:t>
      </w:r>
      <w:r>
        <w:t xml:space="preserve"> L33 (same target and mechanism, floor cut 34 %) was benchmarked 2026-09-24: full period </w:t>
      </w:r>
      <w:r>
        <w:rPr>
          <w:b/>
          <w:bCs/>
        </w:rPr>
        <w:t>1.11 σ</w:t>
      </w:r>
      <w:r>
        <w:t xml:space="preserve"> against L32's 0.88, satellite era </w:t>
      </w:r>
      <w:r>
        <w:rPr>
          <w:b/>
          <w:bCs/>
        </w:rPr>
        <w:t>0.96</w:t>
      </w:r>
      <w:r>
        <w:t xml:space="preserve"> against 1.01. It is not </w:t>
      </w:r>
      <w:r>
        <w:rPr>
          <w:i/>
          <w:iCs/>
        </w:rPr>
        <w:t>dominated</w:t>
      </w:r>
      <w:r>
        <w:t xml:space="preserve"> — it does buy a little more of the modern record — but the exchange rate is poor: </w:t>
      </w:r>
      <w:r>
        <w:rPr>
          <w:b/>
          <w:bCs/>
        </w:rPr>
        <w:t>0.23 σ of full period surrendered for 0.05 σ of satellite era, ≈ 4.6 : 1</w:t>
      </w:r>
      <w:r>
        <w:t>, where the L27 → L32 step trades at 0.69 : 1.</w:t>
      </w:r>
    </w:p>
    <w:p w14:paraId="2DBA06BC" w14:textId="77777777" w:rsidR="00526249" w:rsidRDefault="00000000">
      <w:pPr>
        <w:pStyle w:val="Heading2"/>
      </w:pPr>
      <w:bookmarkStart w:id="8" w:name="specific-questions-for-tony"/>
      <w:bookmarkEnd w:id="7"/>
      <w:r>
        <w:t>8. Specific questions for Tony</w:t>
      </w:r>
    </w:p>
    <w:p w14:paraId="54A13615" w14:textId="2B6CAF0F" w:rsidR="00526249" w:rsidRDefault="001A1B0F">
      <w:pPr>
        <w:pStyle w:val="Compact"/>
        <w:numPr>
          <w:ilvl w:val="0"/>
          <w:numId w:val="2"/>
        </w:numPr>
      </w:pPr>
      <w:r>
        <w:t xml:space="preserve">How do we decide which model is better given the tradeoff between matching recent past versus full-period? </w:t>
      </w:r>
    </w:p>
    <w:p w14:paraId="47A4B106" w14:textId="77777777" w:rsidR="00526249" w:rsidRDefault="00000000">
      <w:pPr>
        <w:pStyle w:val="Compact"/>
        <w:numPr>
          <w:ilvl w:val="0"/>
          <w:numId w:val="2"/>
        </w:numPr>
      </w:pPr>
      <w:r>
        <w:t>Is a noise floor derived from the observed SMB variability the right way to express "the model's SMB is too quiet", or does that belong in the SMB component rather than the likelihood?</w:t>
      </w:r>
    </w:p>
    <w:p w14:paraId="60A7BD8E" w14:textId="77777777" w:rsidR="00526249" w:rsidRDefault="00000000">
      <w:pPr>
        <w:pStyle w:val="Compact"/>
        <w:numPr>
          <w:ilvl w:val="0"/>
          <w:numId w:val="2"/>
        </w:numPr>
      </w:pPr>
      <w:r>
        <w:t>Is the 1920–49 window (L27 0.08 σ, L32 1.07 σ) real skill, or is the reconstruction there loose enough that near-exact agreement is not evidence?</w:t>
      </w:r>
    </w:p>
    <w:p w14:paraId="1E1FD3DE" w14:textId="77777777" w:rsidR="00526249" w:rsidRDefault="007D3A55">
      <w:r>
        <w:rPr>
          <w:noProof/>
        </w:rPr>
      </w:r>
      <w:r>
        <w:pict w14:anchorId="11200047">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0FB8F9" w14:textId="77777777" w:rsidR="00526249" w:rsidRDefault="00000000">
      <w:pPr>
        <w:pStyle w:val="FirstParagraph"/>
      </w:pPr>
      <w:r>
        <w:rPr>
          <w:i/>
          <w:iCs/>
        </w:rPr>
        <w:t xml:space="preserve">Provenance: FaIR 2.2.4 (calib 1.6.0); Ladrillo on </w:t>
      </w:r>
      <w:r>
        <w:rPr>
          <w:rStyle w:val="VerbatimChar"/>
          <w:i/>
          <w:iCs/>
        </w:rPr>
        <w:t>ladrillo-dev</w:t>
      </w:r>
      <w:r>
        <w:rPr>
          <w:i/>
          <w:iCs/>
        </w:rPr>
        <w:t xml:space="preserve">. AIS RMSE from </w:t>
      </w:r>
      <w:r>
        <w:rPr>
          <w:rStyle w:val="VerbatimChar"/>
          <w:i/>
          <w:iCs/>
        </w:rPr>
        <w:t>bench_ladrillo_&lt;TAG&gt;.md</w:t>
      </w:r>
      <w:r>
        <w:rPr>
          <w:i/>
          <w:iCs/>
        </w:rPr>
        <w:t xml:space="preserve">, all arms scored on </w:t>
      </w:r>
      <w:r>
        <w:rPr>
          <w:rStyle w:val="VerbatimChar"/>
          <w:i/>
          <w:iCs/>
        </w:rPr>
        <w:t>outputs/recalib_targets_ext.csv</w:t>
      </w:r>
      <w:r>
        <w:rPr>
          <w:i/>
          <w:iCs/>
        </w:rPr>
        <w:t xml:space="preserve"> (md5 </w:t>
      </w:r>
      <w:r>
        <w:rPr>
          <w:rStyle w:val="VerbatimChar"/>
          <w:i/>
          <w:iCs/>
        </w:rPr>
        <w:t>eb768cd96463</w:t>
      </w:r>
      <w:r>
        <w:rPr>
          <w:i/>
          <w:iCs/>
        </w:rPr>
        <w:t xml:space="preserve">, IMBIE-2026 build) against the frozen </w:t>
      </w:r>
      <w:r>
        <w:rPr>
          <w:rStyle w:val="VerbatimChar"/>
          <w:i/>
          <w:iCs/>
        </w:rPr>
        <w:t>benchmark/reference/L27/</w:t>
      </w:r>
      <w:r>
        <w:rPr>
          <w:i/>
          <w:iCs/>
        </w:rPr>
        <w:t xml:space="preserve"> snapshot; σ denominators from the frozen </w:t>
      </w:r>
      <w:r>
        <w:rPr>
          <w:rStyle w:val="VerbatimChar"/>
          <w:i/>
          <w:iCs/>
        </w:rPr>
        <w:t>_fixed</w:t>
      </w:r>
      <w:r>
        <w:rPr>
          <w:i/>
          <w:iCs/>
        </w:rPr>
        <w:t xml:space="preserve"> copy so σ is comparable across arms. Dynamics </w:t>
      </w:r>
      <w:r>
        <w:rPr>
          <w:i/>
          <w:iCs/>
        </w:rPr>
        <w:lastRenderedPageBreak/>
        <w:t xml:space="preserve">anomalies from </w:t>
      </w:r>
      <w:r>
        <w:rPr>
          <w:rStyle w:val="VerbatimChar"/>
          <w:i/>
          <w:iCs/>
        </w:rPr>
        <w:t>diag_ais_channel_separation.jl</w:t>
      </w:r>
      <w:r>
        <w:rPr>
          <w:i/>
          <w:iCs/>
        </w:rPr>
        <w:t>, 1000 draws, common 1979–2008 anomaly reference, ice-mass sign. IMBIE 2026 = Otosaka et al., Sci. Data 13, 1301, doi:10.1038/s41597-026-08088-0. L27 remains champion; nothing in this document has been promoted.</w:t>
      </w:r>
      <w:bookmarkEnd w:id="0"/>
      <w:bookmarkEnd w:id="8"/>
    </w:p>
    <w:sectPr w:rsidR="005262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altName w:val="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AE0D7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D94CE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805299">
    <w:abstractNumId w:val="0"/>
  </w:num>
  <w:num w:numId="2" w16cid:durableId="2013874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49"/>
    <w:rsid w:val="001A1B0F"/>
    <w:rsid w:val="00214153"/>
    <w:rsid w:val="00526249"/>
    <w:rsid w:val="007D3A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1E3843B"/>
  <w15:docId w15:val="{3C8DC591-B88E-F94B-AEF7-10667658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Marcus Sarofim</dc:creator>
  <cp:keywords/>
  <cp:lastModifiedBy>Marcus Sarofim</cp:lastModifiedBy>
  <cp:revision>2</cp:revision>
  <dcterms:created xsi:type="dcterms:W3CDTF">2026-09-24T15:30:00Z</dcterms:created>
  <dcterms:modified xsi:type="dcterms:W3CDTF">2026-09-24T15:30:00Z</dcterms:modified>
</cp:coreProperties>
</file>