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from 1900 or earlier: BRICK 2.0, SURFER, MP25. Of these three, SURFER's historical total runs outside the observational range in SLEIP's own assessment, and MP25 is a statistical fit to the Frederikse reconstruction that projects only to 2100. MAGICC-SLR and FRISIA start their ice sheets in 1990 and 2002 and ProFSea starts in 2007. Meanwhile, beyond 2100, FACTS's ice-sheet modules either extrapolate or sample from 21st-century projections, and MAGICC-SLR can only be run on MAGICC's own climate.</w:t>
      </w:r>
    </w:p>
    <w:p>
      <w:pPr>
        <w:pStyle w:val="BodyText"/>
      </w:pPr>
      <w:r>
        <w:t xml:space="preserve">As a derivative of BRICK, Ladrillo and BRICK do have a similar niche. However, while Ladrillo generally keeps to BRICK’s design philosophy of physically based components calibrated on the historical record, it does depart from that philosophy in two places that observations cannot reach, namely a Greenland commitment above a threshold, informed by SICOPOLIS, and local-to-global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2640"/>
        <w:gridCol w:w="660"/>
        <w:gridCol w:w="792"/>
        <w:gridCol w:w="660"/>
        <w:gridCol w:w="528"/>
        <w:gridCol w:w="792"/>
        <w:gridCol w:w="660"/>
        <w:gridCol w:w="528"/>
        <w:gridCol w:w="660"/>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two priors: the Greenland tap (SICOPOLIS) and temperature amplification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2427"/>
        <w:gridCol w:w="638"/>
        <w:gridCol w:w="510"/>
        <w:gridCol w:w="510"/>
        <w:gridCol w:w="766"/>
        <w:gridCol w:w="510"/>
        <w:gridCol w:w="638"/>
        <w:gridCol w:w="1021"/>
        <w:gridCol w:w="894"/>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carried in the Greenland mask).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at its 1850 start, centres on 42 cm SLE (5–95% 32–52), inherited from the Wigley and Raper (2005) assumed maximum of 41 cm — 37.7 cm remaining at 2000 after its own 4.0 cm of melt, of which only 0.7 cm falls before 1900;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measured from 1850; net of MAGICC's own 9.4 cm of melt over 1850–2000 that is roughly 26–36 cm at 2000, bracketing Farinotti.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2026-09-12T20:25:33Z</dcterms:created>
  <dcterms:modified xsi:type="dcterms:W3CDTF">2026-09-12T20:25:33Z</dcterms:modified>
</cp:coreProperties>
</file>

<file path=docProps/custom.xml><?xml version="1.0" encoding="utf-8"?>
<Properties xmlns="http://schemas.openxmlformats.org/officeDocument/2006/custom-properties" xmlns:vt="http://schemas.openxmlformats.org/officeDocument/2006/docPropsVTypes"/>
</file>