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7.png" ContentType="image/png"/>
  <Override PartName="/word/media/rId30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rPr>
          <w:i/>
          <w:iCs/>
        </w:rPr>
        <w:t xml:space="preserve">(summary)</w:t>
      </w:r>
      <w:r>
        <w:t xml:space="preserve"> </w:t>
      </w:r>
      <w:r>
        <w:t xml:space="preserve">Ladrillo compares well relative to the other models and sits in a unique space. Unlike</w:t>
      </w:r>
      <w:r>
        <w:t xml:space="preserve"> </w:t>
      </w:r>
      <w:r>
        <w:t xml:space="preserve">MAGICC, Ladrillo is designed to work with the FaIR model. Unlike FACTS, Ladrillo has a simplified</w:t>
      </w:r>
      <w:r>
        <w:t xml:space="preserve"> </w:t>
      </w:r>
      <w:r>
        <w:t xml:space="preserve">structure. Ladrillo does a good job matching historical observations, with the primary weakness being</w:t>
      </w:r>
      <w:r>
        <w:t xml:space="preserve"> </w:t>
      </w:r>
      <w:r>
        <w:t xml:space="preserve">thermal 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, champion since 2026-09-02. L24 is L23's</w:t>
      </w:r>
      <w:r>
        <w:t xml:space="preserve"> </w:t>
      </w:r>
      <w:r>
        <w:t xml:space="preserve">configuration with the Antarctic amplification prior at its shipped width,</w:t>
      </w:r>
      <w:r>
        <w:t xml:space="preserve"> </w:t>
      </w:r>
      <w:r>
        <w:rPr>
          <w:b/>
          <w:bCs/>
        </w:rPr>
        <w:t xml:space="preserve">N(1.09, 0.180)</w:t>
      </w:r>
      <w:r>
        <w:t xml:space="preserve"> </w:t>
      </w:r>
      <w:r>
        <w:t xml:space="preserve">— the</w:t>
      </w:r>
      <w:r>
        <w:t xml:space="preserve"> </w:t>
      </w:r>
      <w:r>
        <w:t xml:space="preserve">measured 34-model CMIP6 between-model spread. It is the only vintage on that prior. On fit it is</w:t>
      </w:r>
      <w:r>
        <w:t xml:space="preserve"> </w:t>
      </w:r>
      <w:r>
        <w:t xml:space="preserve">indistinguishable from L23 (85/65/6 PASS/WARN/FAIL against 86/64/6; 3 of 304 cells change verdict),</w:t>
      </w:r>
      <w:r>
        <w:t xml:space="preserve"> </w:t>
      </w:r>
      <w:r>
        <w:t xml:space="preserve">so it was promoted on provenance rather than skill. ⚠</w:t>
      </w:r>
      <w:r>
        <w:t xml:space="preserve"> </w:t>
      </w:r>
      <w:r>
        <w:rPr>
          <w:b/>
          <w:bCs/>
        </w:rPr>
        <w:t xml:space="preserve">L24 is not like-for-like with L21</w:t>
      </w:r>
      <w:r>
        <w:t xml:space="preserve">, whose</w:t>
      </w:r>
      <w:r>
        <w:t xml:space="preserve"> </w:t>
      </w:r>
      <w:r>
        <w:t xml:space="preserve">amplification prior was N(0.95, 0.10): the difference between those vintages is a prior change, not</w:t>
      </w:r>
      <w:r>
        <w:t xml:space="preserve"> </w:t>
      </w:r>
      <w:r>
        <w:t xml:space="preserve">a model improvement. Basis for every number below:</w:t>
      </w:r>
      <w:r>
        <w:t xml:space="preserve"> </w:t>
      </w:r>
      <w:r>
        <w:rPr>
          <w:b/>
          <w:bCs/>
        </w:rPr>
        <w:t xml:space="preserve">cm, re-referenced to 1995–2014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is a</w:t>
      </w:r>
      <w:r>
        <w:t xml:space="preserve"> </w:t>
      </w:r>
      <w:r>
        <w:rPr>
          <w:b/>
          <w:bCs/>
        </w:rPr>
        <w:t xml:space="preserve">single Wigley–Raper reservoir that is either not melting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to full melt</w:t>
      </w:r>
      <w:r>
        <w:t xml:space="preserve">. Because that formulation saturates, it cannot reproduce the observed</w:t>
      </w:r>
      <w:r>
        <w:t xml:space="preserve"> </w:t>
      </w:r>
      <w:r>
        <w:t xml:space="preserve">20th-century trajectory and the scenario spread at the same time. 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S_eq</w:t>
      </w:r>
      <w:r>
        <w:rPr>
          <w:b/>
          <w:bCs/>
        </w:rPr>
        <w:t xml:space="preserve"> </w:t>
      </w:r>
      <w:r>
        <w:rPr>
          <w:b/>
          <w:bCs/>
        </w:rPr>
        <w:t xml:space="preserve">driven by a Nauels-ν 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 there — the two things the single</w:t>
      </w:r>
      <w:r>
        <w:t xml:space="preserve"> </w:t>
      </w:r>
      <w:r>
        <w:t xml:space="preserve">saturating reservoir conflated —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remaining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⚠ This block exists for an</w:t>
      </w:r>
      <w:r>
        <w:t xml:space="preserve"> </w:t>
      </w:r>
      <w:r>
        <w:rPr>
          <w:b/>
          <w:bCs/>
        </w:rPr>
        <w:t xml:space="preserve">observational scope</w:t>
      </w:r>
      <w:r>
        <w:t xml:space="preserve"> </w:t>
      </w:r>
      <w:r>
        <w:t xml:space="preserve">reason, not a dynamical one. The historical glacier target (Frederikse)</w:t>
      </w:r>
      <w:r>
        <w:t xml:space="preserve"> </w:t>
      </w:r>
      <w:r>
        <w:rPr>
          <w:b/>
          <w:bCs/>
        </w:rPr>
        <w:t xml:space="preserve">assumes zero</w:t>
      </w:r>
      <w:r>
        <w:rPr>
          <w:b/>
          <w:bCs/>
        </w:rPr>
        <w:t xml:space="preserve"> </w:t>
      </w:r>
      <w:r>
        <w:rPr>
          <w:b/>
          <w:bCs/>
        </w:rPr>
        <w:t xml:space="preserve">Antarctic-periphery melt</w:t>
      </w:r>
      <w:r>
        <w:t xml:space="preserve">, while the GlaMBIE series spliced in 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</w:t>
      </w:r>
      <w:r>
        <w:t xml:space="preserve"> </w:t>
      </w:r>
      <w:r>
        <w:t xml:space="preserve">Folding R19 into either other block would leave the model's hindcast scope mismatched against the</w:t>
      </w:r>
      <w:r>
        <w:t xml:space="preserve"> </w:t>
      </w:r>
      <w:r>
        <w:t xml:space="preserve">scope of the series it is scored on. Keeping it separate lets the hindcast be evaluated on</w:t>
      </w:r>
      <w:r>
        <w:t xml:space="preserve"> </w:t>
      </w:r>
      <w:r>
        <w:rPr>
          <w:b/>
          <w:bCs/>
        </w:rPr>
        <w:t xml:space="preserve">SLOWP + FAST — exactly the target's scope</w:t>
      </w:r>
      <w:r>
        <w:t xml:space="preserve"> </w:t>
      </w:r>
      <w:r>
        <w:t xml:space="preserve">— while R19 still contributes to projected totals. Its</w:t>
      </w:r>
      <w:r>
        <w:t xml:space="preserve"> </w:t>
      </w:r>
      <w:r>
        <w:t xml:space="preserve">amplification prior (0.72) is also far below the other two, so it is not physically interchangeable</w:t>
      </w:r>
      <w:r>
        <w:t xml:space="preserve"> </w:t>
      </w:r>
      <w:r>
        <w:t xml:space="preserve">with them either.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BRICK 2.0</w:t>
      </w:r>
      <w:r>
        <w:t xml:space="preserve"> </w:t>
      </w:r>
      <w:r>
        <w:t xml:space="preserve">the change is structural: one</w:t>
      </w:r>
      <w:r>
        <w:t xml:space="preserve"> </w:t>
      </w:r>
      <w:r>
        <w:t xml:space="preserve">saturating reservoir becomes three regional ones with sampled amplification, so the committed volume</w:t>
      </w:r>
      <w:r>
        <w:t xml:space="preserve"> </w:t>
      </w:r>
      <w:r>
        <w:t xml:space="preserve">and the approach rate are separately identified. Against</w:t>
      </w:r>
      <w:r>
        <w:t xml:space="preserve"> </w:t>
      </w:r>
      <w:r>
        <w:rPr>
          <w:b/>
          <w:bCs/>
        </w:rPr>
        <w:t xml:space="preserve">MAGICC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law is the same</w:t>
      </w:r>
      <w:r>
        <w:t xml:space="preserve"> </w:t>
      </w:r>
      <w:r>
        <w:t xml:space="preserve">object — Ladrillo's transient is Nauels 2017 Eq. 3, which is MAGICC's law — so the two models are</w:t>
      </w:r>
      <w:r>
        <w:t xml:space="preserve"> </w:t>
      </w:r>
      <w:r>
        <w:t xml:space="preserve">closer in glacier form than either is to BRICK 2.0. Where they differ is the equilibrium curve:</w:t>
      </w:r>
      <w:r>
        <w:t xml:space="preserve"> </w:t>
      </w:r>
      <w:r>
        <w:t xml:space="preserve">MAGICC carries a tabulated equilibrium spanning 0.0–10.3 K with</w:t>
      </w:r>
      <w:r>
        <w:t xml:space="preserve"> </w:t>
      </w:r>
      <w:r>
        <w:rPr>
          <w:b/>
          <w:bCs/>
        </w:rPr>
        <w:t xml:space="preserve">no negative branch</w:t>
      </w:r>
      <w:r>
        <w:t xml:space="preserve"> </w:t>
      </w:r>
      <w:r>
        <w:t xml:space="preserve">and a positive</w:t>
      </w:r>
      <w:r>
        <w:t xml:space="preserve"> </w:t>
      </w:r>
      <w:r>
        <w:t xml:space="preserve">27.6–135.9 mm floor, while Ladrillo fits its equilibrium per block.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BRICK 2.0's melt-only ratchet cannot regrow ice at all, and of the four</w:t>
      </w:r>
      <w:r>
        <w:t xml:space="preserve"> </w:t>
      </w:r>
      <w:r>
        <w:t xml:space="preserve">models compared here</w:t>
      </w:r>
      <w:r>
        <w:t xml:space="preserve"> </w:t>
      </w:r>
      <w:r>
        <w:rPr>
          <w:b/>
          <w:bCs/>
        </w:rPr>
        <w:t xml:space="preserve">MAGICC was until recently the only one that could express glacier regrowth —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three are blind to it rather than agreeing about it.</w:t>
      </w:r>
      <w:r>
        <w:t xml:space="preserve"> </w:t>
      </w:r>
      <w:r>
        <w:t xml:space="preserve">Ladrillo now can. 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The floor is load-bearing, not cosmetic.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t xml:space="preserve">goes negative below</w:t>
      </w:r>
      <w:r>
        <w:t xml:space="preserve"> </w:t>
      </w:r>
      <w:r>
        <w:rPr>
          <w:rStyle w:val="VerbatimChar"/>
        </w:rPr>
        <w:t xml:space="preserve">T_off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12.9%</w:t>
      </w:r>
      <w:r>
        <w:t xml:space="preserve"> </w:t>
      </w:r>
      <w:r>
        <w:t xml:space="preserve">of</w:t>
      </w:r>
      <w:r>
        <w:t xml:space="preserve"> </w:t>
      </w:r>
      <w:r>
        <w:t xml:space="preserve">block × draw cells at the van Vuuren low-overshoot marker at 2300 on our own climate (47.6% on</w:t>
      </w:r>
      <w:r>
        <w:t xml:space="preserve"> </w:t>
      </w:r>
      <w:r>
        <w:t xml:space="preserve">MAGICC's), so unclamping without flooring would regrow glaciers</w:t>
      </w:r>
      <w:r>
        <w:t xml:space="preserve"> </w:t>
      </w:r>
      <w:r>
        <w:rPr>
          <w:b/>
          <w:bCs/>
        </w:rPr>
        <w:t xml:space="preserve">past their 1850 extent</w:t>
      </w:r>
      <w:r>
        <w:t xml:space="preserve"> </w:t>
      </w:r>
      <w:r>
        <w:t xml:space="preserve">— less</w:t>
      </w:r>
      <w:r>
        <w:t xml:space="preserve"> </w:t>
      </w:r>
      <w:r>
        <w:t xml:space="preserve">defensible than the ratchet it replaces. Boundedness is structural rather than a second clamp: the</w:t>
      </w:r>
      <w:r>
        <w:t xml:space="preserve"> </w:t>
      </w:r>
      <w:r>
        <w:t xml:space="preserve">multiplier is capped at 1, so each step is a convex combination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S_eq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S_eq ≥ 0</w:t>
      </w:r>
      <w:r>
        <w:t xml:space="preserve"> </w:t>
      </w:r>
      <w:r>
        <w:t xml:space="preserve">the stock can never fall below the floor. The regrowth rate ratio R = 1 is a</w:t>
      </w:r>
      <w:r>
        <w:t xml:space="preserve"> </w:t>
      </w:r>
      <w:r>
        <w:rPr>
          <w:b/>
          <w:bCs/>
        </w:rPr>
        <w:t xml:space="preserve">stated convention, not</w:t>
      </w:r>
      <w:r>
        <w:rPr>
          <w:b/>
          <w:bCs/>
        </w:rPr>
        <w:t xml:space="preserve"> </w:t>
      </w:r>
      <w:r>
        <w:rPr>
          <w:b/>
          <w:bCs/>
        </w:rPr>
        <w:t xml:space="preserve">a fitted quantity</w:t>
      </w:r>
      <w:r>
        <w:t xml:space="preserve"> </w:t>
      </w:r>
      <w:r>
        <w:t xml:space="preserve">— removing the clamp moves the hindcast by 0.014 cm, 3% of the glacier target's</w:t>
      </w:r>
      <w:r>
        <w:t xml:space="preserve"> </w:t>
      </w:r>
      <w:r>
        <w:t xml:space="preserve">median σ, so no refit can inform it. On a monotonically warming path the new and old laws are</w:t>
      </w:r>
      <w:r>
        <w:t xml:space="preserve"> </w:t>
      </w:r>
      <w:r>
        <w:rPr>
          <w:b/>
          <w:bCs/>
        </w:rPr>
        <w:t xml:space="preserve">bit-identical</w:t>
      </w:r>
      <w:r>
        <w:t xml:space="preserve">; the change delivers</w:t>
      </w:r>
      <w:r>
        <w:t xml:space="preserve"> </w:t>
      </w:r>
      <w:r>
        <w:rPr>
          <w:b/>
          <w:bCs/>
        </w:rPr>
        <w:t xml:space="preserve">−0.15 cm</w:t>
      </w:r>
      <w:r>
        <w:t xml:space="preserve"> </w:t>
      </w:r>
      <w:r>
        <w:t xml:space="preserve">at the low-overshoot marker at 2300 and ~0</w:t>
      </w:r>
      <w:r>
        <w:t xml:space="preserve"> </w:t>
      </w:r>
      <w:r>
        <w:t xml:space="preserve">elsewhere. Its value is that stabilization and decline scenarios now halt and reverse rather than</w:t>
      </w:r>
      <w:r>
        <w:t xml:space="preserve"> </w:t>
      </w:r>
      <w:r>
        <w:t xml:space="preserve">ratchet.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A single channel cannot carry outlet/dynamic discharge and</w:t>
      </w:r>
      <w:r>
        <w:t xml:space="preserve"> </w:t>
      </w:r>
      <w:r>
        <w:t xml:space="preserve">surface-mass-balance response with different time constants. ⚠ The channel ordering is</w:t>
      </w:r>
      <w:r>
        <w:t xml:space="preserve"> </w:t>
      </w:r>
      <w:r>
        <w:rPr>
          <w:b/>
          <w:bCs/>
        </w:rPr>
        <w:t xml:space="preserve">enforced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--gis-ordered</w:t>
      </w:r>
      <w:r>
        <w:t xml:space="preserve">) as a wedge in the log-prior: without the constraint the two channels are</w:t>
      </w:r>
      <w:r>
        <w:t xml:space="preserve"> </w:t>
      </w:r>
      <w:r>
        <w:t xml:space="preserve">exchangeable and the posterior can invert them, which is not a physical solution. The ordering is</w:t>
      </w:r>
      <w:r>
        <w:t xml:space="preserve"> </w:t>
      </w:r>
      <w:r>
        <w:t xml:space="preserve">imposed, not identified — the data do not by themselves separate which channel is which.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  <w:r>
        <w:t xml:space="preserve"> </w:t>
      </w:r>
      <w:r>
        <w:t xml:space="preserve">⚠ The reference basin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rather than sampled because the common mode of the basin scales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degenerate — pinning removes an unidentified direction rather than adding information. A</w:t>
      </w:r>
      <w:r>
        <w:t xml:space="preserve"> </w:t>
      </w:r>
      <w:r>
        <w:t xml:space="preserve">third basin was tested and buys nothing.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rPr>
          <w:rStyle w:val="VerbatimChar"/>
        </w:rPr>
        <w:t xml:space="preserve">gis_amp</w:t>
      </w:r>
      <w:r>
        <w:t xml:space="preserve"> </w:t>
      </w:r>
      <w:r>
        <w:t xml:space="preserve">is sampled with an</w:t>
      </w:r>
      <w:r>
        <w:t xml:space="preserve"> </w:t>
      </w:r>
      <w:r>
        <w:rPr>
          <w:rStyle w:val="VerbatimChar"/>
        </w:rPr>
        <w:t xml:space="preserve">amp(GMST)</w:t>
      </w:r>
      <w:r>
        <w:t xml:space="preserve"> </w:t>
      </w:r>
      <w:r>
        <w:t xml:space="preserve">law rather than pinned; it is the dominant</w:t>
      </w:r>
      <w:r>
        <w:t xml:space="preserve"> </w:t>
      </w:r>
      <w:r>
        <w:t xml:space="preserve">control on the 2100 Greenland projection, and the law reduced the relevant spread from 9.80 to</w:t>
      </w:r>
      <w:r>
        <w:t xml:space="preserve"> </w:t>
      </w:r>
      <w:r>
        <w:t xml:space="preserve">7.37 cm.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It is off by default, port-tested, and does not fire on scenarios</w:t>
      </w:r>
      <w:r>
        <w:t xml:space="preserve"> </w:t>
      </w:r>
      <w:r>
        <w:t xml:space="preserve">that stay below the onset. ⚠ It is</w:t>
      </w:r>
      <w:r>
        <w:t xml:space="preserve"> </w:t>
      </w:r>
      <w:r>
        <w:rPr>
          <w:b/>
          <w:bCs/>
        </w:rPr>
        <w:t xml:space="preserve">likelihood-inert</w:t>
      </w:r>
      <w:r>
        <w:t xml:space="preserve"> </w:t>
      </w:r>
      <w:r>
        <w:t xml:space="preserve">— it acts entirely after the observational</w:t>
      </w:r>
      <w:r>
        <w:t xml:space="preserve"> </w:t>
      </w:r>
      <w:r>
        <w:t xml:space="preserve">record, so it cannot be calibrated in and is a stated structural choice.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 BRICK 2.0 this is the largest structural change in</w:t>
      </w:r>
      <w:r>
        <w:t xml:space="preserve"> </w:t>
      </w:r>
      <w:r>
        <w:t xml:space="preserve">the model: one channel and one body become four channels across two basins with an enforced ordering</w:t>
      </w:r>
      <w:r>
        <w:t xml:space="preserve"> </w:t>
      </w:r>
      <w:r>
        <w:t xml:space="preserve">and an observationally-anchored sector split. Ladrillo's Greenland is correspondingly the component</w:t>
      </w:r>
      <w:r>
        <w:t xml:space="preserve"> </w:t>
      </w:r>
      <w:r>
        <w:t xml:space="preserve">where the hindcast gain over BRICK 2.0 is largest.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 Its σ is inflated by</w:t>
            </w:r>
            <w:r>
              <w:t xml:space="preserve"> </w:t>
            </w:r>
            <w:r>
              <w:rPr>
                <w:b/>
                <w:bCs/>
              </w:rPr>
              <w:t xml:space="preserve">Frederikse's own budget-closure spread</w:t>
            </w:r>
            <w:r>
              <w:t xml:space="preserve"> </w:t>
            </w:r>
            <w:r>
              <w:t xml:space="preserve">— the closure error is measured, so it is used rather than assumed.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⚠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The posterior had pinned SMB − discharge to −145 ± 15 Gt/yr while each flux individually sat at ±505/±509 — the classic input–output degeneracy; one term anchors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amplification, replacing pinned constants.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 </w:t>
      </w:r>
      <w:r>
        <w:t xml:space="preserve">per scenario, with</w:t>
      </w:r>
      <w:r>
        <w:t xml:space="preserve"> </w:t>
      </w:r>
      <w:r>
        <w:t xml:space="preserve">FaIR-consistent conditional weighting. Fixing the climate driver is what makes the posterior spread</w:t>
      </w:r>
      <w:r>
        <w:t xml:space="preserve"> </w:t>
      </w:r>
      <w:r>
        <w:t xml:space="preserve">parameter uncertainty — and is why the fixed-driver bands are not width-comparable to MAGICC's or</w:t>
      </w:r>
      <w:r>
        <w:t xml:space="preserve"> </w:t>
      </w:r>
      <w:r>
        <w:t xml:space="preserve">FACTS'. The projection bands reported below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bands, which</w:t>
      </w:r>
      <w:r>
        <w:t xml:space="preserve"> </w:t>
      </w:r>
      <w:r>
        <w:t xml:space="preserve">are comparable.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 Every earlier run started all four chains at the same</w:t>
      </w:r>
      <w:r>
        <w:t xml:space="preserve"> </w:t>
      </w:r>
      <w:r>
        <w:t xml:space="preserve">point, which makes R̂ anti-conservative: between-chain variance cannot reflect posterior mass that no</w:t>
      </w:r>
      <w:r>
        <w:t xml:space="preserve"> </w:t>
      </w:r>
      <w:r>
        <w:t xml:space="preserve">chain ever reached.</w:t>
      </w:r>
    </w:p>
    <w:p>
      <w:r>
        <w:pict>
          <v:rect style="width:0;height:1.5pt" o:hralign="center" o:hrstd="t" o:hr="t"/>
        </w:pic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</w:t>
      </w:r>
    </w:p>
    <w:p>
      <w:pPr>
        <w:pStyle w:val="BodyText"/>
      </w:pPr>
      <w:r>
        <w:rPr>
          <w:b/>
          <w:bCs/>
        </w:rPr>
        <w:t xml:space="preserve">AIS parameters that have been freed</w:t>
      </w:r>
      <w:r>
        <w:t xml:space="preserve"> </w:t>
      </w:r>
      <w:r>
        <w:t xml:space="preserve">(17):</w:t>
      </w:r>
    </w:p>
    <w:p>
      <w:pPr>
        <w:pStyle w:val="BodyText"/>
      </w:pPr>
      <w:r>
        <w:rPr>
          <w:rStyle w:val="VerbatimChar"/>
        </w:rPr>
        <w:t xml:space="preserve">ais_ocean_temperature₀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antarctic_nu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antarctic_temp_threshold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anto_beta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antarctic_kappa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ais_gmst_amp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.</w:t>
      </w:r>
    </w:p>
    <w:p>
      <w:pPr>
        <w:pStyle w:val="BodyText"/>
      </w:pPr>
      <w:r>
        <w:t xml:space="preserve">Three of those changes carry the Antarctic improvement: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melt.</w:t>
      </w:r>
      <w:r>
        <w:t xml:space="preserve"> </w:t>
      </w:r>
      <w:r>
        <w:t xml:space="preserve">With the geometry fixed at the prior medoid, BRICK</w:t>
      </w:r>
      <w:r>
        <w:t xml:space="preserve"> </w:t>
      </w:r>
      <w:r>
        <w:t xml:space="preserve">2.0 draws far more early-20th-century Antarctic mass loss than the record supports; Ladrillo tracks</w:t>
      </w:r>
      <w:r>
        <w:t xml:space="preserve"> </w:t>
      </w:r>
      <w:r>
        <w:t xml:space="preserve">the observations to within a hundredth of a centimetre over the same window (see the hindcast table</w:t>
      </w:r>
      <w:r>
        <w:t xml:space="preserve"> </w:t>
      </w:r>
      <w:r>
        <w:t xml:space="preserve">below).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the model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the combination the data</w:t>
      </w:r>
      <w:r>
        <w:t xml:space="preserve"> </w:t>
      </w:r>
      <w:r>
        <w:t xml:space="preserve">actually constrain.</w:t>
      </w:r>
    </w:p>
    <w:p>
      <w:pPr>
        <w:pStyle w:val="BodyText"/>
      </w:pPr>
      <w:r>
        <w:rPr>
          <w:b/>
          <w:bCs/>
        </w:rPr>
        <w:t xml:space="preserve">Antarctic amplification is freed.</w:t>
      </w:r>
      <w:r>
        <w:t xml:space="preserve"> </w:t>
      </w:r>
      <w:r>
        <w:t xml:space="preserve">Stock DAIS hard-codes 1.196 — the inverted paleo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regression applied to a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problem. Ladrillo samples it under N(1.09, 0.180), the measured</w:t>
      </w:r>
      <w:r>
        <w:t xml:space="preserve"> </w:t>
      </w:r>
      <w:r>
        <w:t xml:space="preserve">CMIP6 between-model spread. ⚠</w:t>
      </w:r>
      <w:r>
        <w:t xml:space="preserve"> </w:t>
      </w:r>
      <w:r>
        <w:rPr>
          <w:b/>
          <w:bCs/>
        </w:rPr>
        <w:t xml:space="preserve">It is prior-dominated</w:t>
      </w:r>
      <w:r>
        <w:t xml:space="preserve">: the posterior standard deviation is 0.95–0.99</w:t>
      </w:r>
      <w:r>
        <w:t xml:space="preserve"> </w:t>
      </w:r>
      <w:r>
        <w:t xml:space="preserve">of the prior's at every width tried, and it carries 386 cm per unit on Antarctica at 2300,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prior's width is the projection uncertainty</w:t>
      </w:r>
      <w:r>
        <w:t xml:space="preserve">, not a starting guess the data will tighten. No</w:t>
      </w:r>
      <w:r>
        <w:t xml:space="preserve"> </w:t>
      </w:r>
      <w:r>
        <w:t xml:space="preserve">available observation constrains it — the coefficient multiplies a temperature</w:t>
      </w:r>
      <w:r>
        <w:t xml:space="preserve"> </w:t>
      </w:r>
      <w:r>
        <w:rPr>
          <w:i/>
          <w:iCs/>
        </w:rPr>
        <w:t xml:space="preserve">anomaly</w:t>
      </w:r>
      <w:r>
        <w:t xml:space="preserve">, so its</w:t>
      </w:r>
      <w:r>
        <w:t xml:space="preserve"> </w:t>
      </w:r>
      <w:r>
        <w:t xml:space="preserve">footprint is 0.083 °C over the window where the data are and 0.455 °C at 2300.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Convergence is disclosed, not claimed.</w:t>
      </w:r>
      <w:r>
        <w:t xml:space="preserve"> </w:t>
      </w:r>
      <w:r>
        <w:t xml:space="preserve">L24 is accepted under the deliverable criterion: 19</w:t>
      </w:r>
      <w:r>
        <w:t xml:space="preserve"> </w:t>
      </w:r>
      <w:r>
        <w:t xml:space="preserve">parameter marginals fail R̂ &lt; 1.05 — the documented Antarctic-geometry ridge, present in every</w:t>
      </w:r>
      <w:r>
        <w:t xml:space="preserve"> </w:t>
      </w:r>
      <w:r>
        <w:t xml:space="preserve">vintage — while</w:t>
      </w:r>
      <w:r>
        <w:t xml:space="preserve"> </w:t>
      </w:r>
      <w:r>
        <w:rPr>
          <w:b/>
          <w:bCs/>
        </w:rPr>
        <w:t xml:space="preserve">projected sea level converges</w:t>
      </w:r>
      <w:r>
        <w:t xml:space="preserve"> </w:t>
      </w:r>
      <w:r>
        <w:t xml:space="preserve">(R̂ = 1.008 at 2100, 1.011 at 2150; ESS ≈ 1050).</w:t>
      </w:r>
    </w:p>
    <w:p>
      <w:r>
        <w:pict>
          <v:rect style="width:0;height:1.5pt" o:hralign="center" o:hrstd="t" o:hr="t"/>
        </w:pic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</w:t>
      </w:r>
      <w:r>
        <w:t xml:space="preserve"> </w:t>
      </w:r>
      <w:r>
        <w:t xml:space="preserve">by 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⚠ Thermal expansion is the one component where Ladrillo is worse than the model it replaces,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cause is external.</w:t>
      </w:r>
      <w:r>
        <w:t xml:space="preserve"> </w:t>
      </w:r>
      <w:r>
        <w:t xml:space="preserve">The summary above states this correctly: it is inherited from FaIR, and it</w:t>
      </w:r>
      <w:r>
        <w:t xml:space="preserve"> </w:t>
      </w:r>
      <w:r>
        <w:t xml:space="preserve">does not appear when the expansion coefficient is evaluated against observed ocean heat. Five results</w:t>
      </w:r>
      <w:r>
        <w:t xml:space="preserve"> </w:t>
      </w:r>
      <w:r>
        <w:t xml:space="preserve">establish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Roughly half the apparent miss is depth scope.</w:t>
      </w:r>
      <w:r>
        <w:t xml:space="preserve"> </w:t>
      </w:r>
      <w:r>
        <w:t xml:space="preserve">FaIR's ocean heat content is full-depth; the</w:t>
      </w:r>
      <w:r>
        <w:t xml:space="preserve"> </w:t>
      </w:r>
      <w:r>
        <w:t xml:space="preserve">steric target is built from 0–2000 m products. Correcting on IGCC's own &gt;2000 m layer takes the</w:t>
      </w:r>
      <w:r>
        <w:t xml:space="preserve"> </w:t>
      </w:r>
      <w:r>
        <w:t xml:space="preserve">1993–2026 rate ratio from</w:t>
      </w:r>
      <w:r>
        <w:t xml:space="preserve"> </w:t>
      </w:r>
      <w:r>
        <w:rPr>
          <w:b/>
          <w:bCs/>
        </w:rPr>
        <w:t xml:space="preserve">1.27× to 1.15×</w:t>
      </w:r>
      <w:r>
        <w:t xml:space="preserve"> </w:t>
      </w:r>
      <w:r>
        <w:t xml:space="preserve">and z from</w:t>
      </w:r>
      <w:r>
        <w:t xml:space="preserve"> </w:t>
      </w:r>
      <w:r>
        <w:rPr>
          <w:b/>
          <w:bCs/>
        </w:rPr>
        <w:t xml:space="preserve">+5.87 to +3.64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remains is the driver, not the coefficient.</w:t>
      </w:r>
      <w:r>
        <w:t xml:space="preserve"> </w:t>
      </w:r>
      <w:r>
        <w:t xml:space="preserve">Thermal expansion is linear in ocean heat, so</w:t>
      </w:r>
      <w:r>
        <w:t xml:space="preserve"> </w:t>
      </w:r>
      <w:r>
        <w:t xml:space="preserve">the miss factors exactly:</w:t>
      </w:r>
      <w:r>
        <w:t xml:space="preserve"> </w:t>
      </w:r>
      <w:r>
        <w:rPr>
          <w:b/>
          <w:bCs/>
        </w:rPr>
        <w:t xml:space="preserve">1.270 = 1.236 (driver) × 1.028 (coefficient)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 is shared.</w:t>
      </w:r>
      <w:r>
        <w:t xml:space="preserve"> </w:t>
      </w:r>
      <w:r>
        <w:t xml:space="preserve">BRICK 2.0 — an entirely independent posterior on the same FaIR driver —</w:t>
      </w:r>
      <w:r>
        <w:t xml:space="preserve"> </w:t>
      </w:r>
      <w:r>
        <w:t xml:space="preserve">misses the same cell at 1.17×, and</w:t>
      </w:r>
      <w:r>
        <w:t xml:space="preserve"> </w:t>
      </w:r>
      <w:r>
        <w:rPr>
          <w:b/>
          <w:bCs/>
        </w:rPr>
        <w:t xml:space="preserve">both models match the observed total rate</w:t>
      </w:r>
      <w:r>
        <w:t xml:space="preserve"> </w:t>
      </w:r>
      <w:r>
        <w:t xml:space="preserve">(1.07× and 1.04×).</w:t>
      </w:r>
      <w:r>
        <w:t xml:space="preserve"> </w:t>
      </w:r>
      <w:r>
        <w:t xml:space="preserve">This is component attribution, not a sea-level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recent degradation is a driver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propagating.</w:t>
      </w:r>
      <w:r>
        <w:t xml:space="preserve"> </w:t>
      </w:r>
      <w:r>
        <w:t xml:space="preserve">fair-calibrate 1.6.0 correctly halved a</w:t>
      </w:r>
      <w:r>
        <w:t xml:space="preserve"> </w:t>
      </w:r>
      <w:r>
        <w:t xml:space="preserve">two-fold early-century ocean-heat bias (1900–1950 observed gain 7.34, old driver 14.50, new 9.09).</w:t>
      </w:r>
      <w:r>
        <w:t xml:space="preserve"> </w:t>
      </w:r>
      <w:r>
        <w:t xml:space="preserve">The single expansion coefficient rose 6.4% to keep matching steric over 1900–2025, and — applied</w:t>
      </w:r>
      <w:r>
        <w:t xml:space="preserve"> </w:t>
      </w:r>
      <w:r>
        <w:t xml:space="preserve">to a modern ocean heat uptake that is still ~22% fast — it stopped offsetting that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coefficient is right.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ocean heat, a single constant coefficient ≈ 0.11</w:t>
      </w:r>
      <w:r>
        <w:t xml:space="preserve"> </w:t>
      </w:r>
      <w:r>
        <w:t xml:space="preserve">reproduces the steric target across 1900–1950, 1950–1993 and 1993–2024 to within</w:t>
      </w:r>
      <w:r>
        <w:t xml:space="preserve"> </w:t>
      </w:r>
      <w:r>
        <w:rPr>
          <w:b/>
          <w:bCs/>
        </w:rPr>
        <w:t xml:space="preserve">3%</w:t>
      </w:r>
      <w:r>
        <w:t xml:space="preserve">, and</w:t>
      </w:r>
      <w:r>
        <w:t xml:space="preserve"> </w:t>
      </w:r>
      <w:r>
        <w:t xml:space="preserve">Ladrillo's fitted 0.11252 sits inside that range. The epoch conflict exists only under FaIR's</w:t>
      </w:r>
      <w:r>
        <w:t xml:space="preserve"> </w:t>
      </w:r>
      <w:r>
        <w:t xml:space="preserve">ocean heat.</w:t>
      </w:r>
    </w:p>
    <w:p>
      <w:pPr>
        <w:pStyle w:val="FirstParagraph"/>
      </w:pPr>
      <w:r>
        <w:t xml:space="preserve">⚠ A depth-resolved expansion coefficient was tested and does not help: the mid-century epoch, which</w:t>
      </w:r>
      <w:r>
        <w:t xml:space="preserve"> </w:t>
      </w:r>
      <w:r>
        <w:t xml:space="preserve">requires a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coefficient, is</w:t>
      </w:r>
      <w:r>
        <w:t xml:space="preserve"> </w:t>
      </w:r>
      <w:r>
        <w:rPr>
          <w:i/>
          <w:iCs/>
        </w:rPr>
        <w:t xml:space="preserve">deeper</w:t>
      </w:r>
      <w:r>
        <w:t xml:space="preserve">-weighted than the modern epoch, so any expansion</w:t>
      </w:r>
      <w:r>
        <w:t xml:space="preserve"> </w:t>
      </w:r>
      <w:r>
        <w:t xml:space="preserve">efficiency that declines with depth moves the model in the wrong direction. The weakest link in this</w:t>
      </w:r>
      <w:r>
        <w:t xml:space="preserve"> </w:t>
      </w:r>
      <w:r>
        <w:t xml:space="preserve">chain is the mid-century observation itself — Cheng and IGCC disagree by ~50% on 1950–1993 ocean heat</w:t>
      </w:r>
      <w:r>
        <w:t xml:space="preserve"> </w:t>
      </w:r>
      <w:r>
        <w:t xml:space="preserve">gain.</w:t>
      </w:r>
    </w:p>
    <w:p>
      <w:r>
        <w:pict>
          <v:rect style="width:0;height:1.5pt" o:hralign="center" o:hrstd="t" o:hr="t"/>
        </w:pict>
      </w:r>
    </w:p>
    <w:bookmarkEnd w:id="17"/>
    <w:bookmarkStart w:id="34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28" name="Picture"/>
            <a:graphic>
              <a:graphicData uri="http://schemas.openxmlformats.org/drawingml/2006/picture">
                <pic:pic>
                  <pic:nvPicPr>
                    <pic:cNvPr descr="figures/ladrillo_L24_fig2_ssp_tota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Total sea level by SSP, Ladrillo L24 joint band.</w:t>
      </w:r>
    </w:p>
    <w:p>
      <w:pPr>
        <w:pStyle w:val="BodyText"/>
      </w:pPr>
      <w:r>
        <w:drawing>
          <wp:inline>
            <wp:extent cx="5334000" cy="1720645"/>
            <wp:effectExtent b="0" l="0" r="0" t="0"/>
            <wp:docPr descr="Glacier contribution" title="" id="31" name="Picture"/>
            <a:graphic>
              <a:graphicData uri="http://schemas.openxmlformats.org/drawingml/2006/picture">
                <pic:pic>
                  <pic:nvPicPr>
                    <pic:cNvPr descr="figures/ladrillo_L24_fig3_glacie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0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The glacier contribution, showing the halt-and-reverse behaviour under the floored</w:t>
      </w:r>
      <w:r>
        <w:t xml:space="preserve"> </w:t>
      </w:r>
      <w:r>
        <w:t xml:space="preserve">equilibrium.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 van Vuuren marker figures and the Ladrillo-vs-MAGICC (MAGICC-forced) comparison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outline calls for are still building on L24.</w:t>
      </w:r>
      <w:r>
        <w:t xml:space="preserve"> </w:t>
      </w:r>
      <w:r>
        <w:t xml:space="preserve">Those arms existed only for L21 and L23 — all of</w:t>
      </w:r>
      <w:r>
        <w:t xml:space="preserve"> </w:t>
      </w:r>
      <w:r>
        <w:t xml:space="preserve">them tapped — and drawing them on a superseded vintage would be the like-for-like error this</w:t>
      </w:r>
      <w:r>
        <w:t xml:space="preserve"> </w:t>
      </w:r>
      <w:r>
        <w:t xml:space="preserve">model's own documentation warns about. This document will be reissued with them.</w:t>
      </w:r>
    </w:p>
    <w:bookmarkStart w:id="33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horizons, which is the expected behaviour of a model whose Antarctic response is threshold-</w:t>
      </w:r>
      <w:r>
        <w:t xml:space="preserve"> </w:t>
      </w:r>
      <w:r>
        <w:t xml:space="preserve">driven rather than linear. 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prior</w:t>
      </w:r>
      <w:r>
        <w:t xml:space="preserve">, not an</w:t>
      </w:r>
      <w:r>
        <w:t xml:space="preserve"> </w:t>
      </w:r>
      <w:r>
        <w:t xml:space="preserve">inference — so the width at the high end should be read as a stated uncertainty rather than a</w:t>
      </w:r>
      <w:r>
        <w:t xml:space="preserve"> </w:t>
      </w:r>
      <w:r>
        <w:t xml:space="preserve">constrained one.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and its band is narrower than</w:t>
      </w:r>
      <w:r>
        <w:t xml:space="preserve"> </w:t>
      </w:r>
      <w:r>
        <w:t xml:space="preserve">the literature's at the cool scenarios. ⚠ This is the one place the benchmark flags a genuine</w:t>
      </w:r>
      <w:r>
        <w:t xml:space="preserve"> </w:t>
      </w:r>
      <w:r>
        <w:t xml:space="preserve">discrepancy: Antarctic spread at ssp126/2100 is</w:t>
      </w:r>
      <w:r>
        <w:t xml:space="preserve"> </w:t>
      </w:r>
      <w:r>
        <w:rPr>
          <w:b/>
          <w:bCs/>
        </w:rPr>
        <w:t xml:space="preserve">2.55×</w:t>
      </w:r>
      <w:r>
        <w:t xml:space="preserve"> </w:t>
      </w:r>
      <w:r>
        <w:t xml:space="preserve">the literature's. That is a</w:t>
      </w:r>
      <w:r>
        <w:t xml:space="preserve"> </w:t>
      </w:r>
      <w:r>
        <w:t xml:space="preserve">projection-versus-other-models disagreement rather than an observational conflict, and it is wider on</w:t>
      </w:r>
      <w:r>
        <w:t xml:space="preserve"> </w:t>
      </w:r>
      <w:r>
        <w:t xml:space="preserve">L24 than on L21 because the amplification prior is wider — which is the honest, measured prior, not a</w:t>
      </w:r>
      <w:r>
        <w:t xml:space="preserve"> </w:t>
      </w:r>
      <w:r>
        <w:t xml:space="preserve">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⭐ This is where the glacier law change matters and where Ladrillo now</w:t>
      </w:r>
      <w:r>
        <w:t xml:space="preserve"> </w:t>
      </w:r>
      <w:r>
        <w:t xml:space="preserve">behaves like the physics rather than like a ratchet. Under BRICK 2.0's melt-only formulation, glaciers</w:t>
      </w:r>
      <w:r>
        <w:t xml:space="preserve"> </w:t>
      </w:r>
      <w:r>
        <w:t xml:space="preserve">cannot recover mass no matter how far temperature falls. With the floored equilibrium and bounded</w:t>
      </w:r>
      <w:r>
        <w:t xml:space="preserve"> </w:t>
      </w:r>
      <w:r>
        <w:t xml:space="preserve">regrowth,</w:t>
      </w:r>
      <w:r>
        <w:t xml:space="preserve"> </w:t>
      </w:r>
      <w:r>
        <w:rPr>
          <w:b/>
          <w:bCs/>
        </w:rPr>
        <w:t xml:space="preserve">Ladrillo stops when temperature stops</w:t>
      </w:r>
      <w:r>
        <w:t xml:space="preserve"> </w:t>
      </w:r>
      <w:r>
        <w:t xml:space="preserve">— its glacier rate at 2300 falls to 0.00–0.55</w:t>
      </w:r>
      <w:r>
        <w:t xml:space="preserve"> </w:t>
      </w:r>
      <w:r>
        <w:t xml:space="preserve">mm/yr on declining pathways against 1.96 on a rising one — and can reverse. Of the four models</w:t>
      </w:r>
      <w:r>
        <w:t xml:space="preserve"> </w:t>
      </w:r>
      <w:r>
        <w:t xml:space="preserve">compared, only MAGICC could previously express this at all.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in this document is L24 except where a comparison</w:t>
      </w:r>
      <w:r>
        <w:t xml:space="preserve"> </w:t>
      </w:r>
      <w:r>
        <w:t xml:space="preserve">to an earlier vintage is explicitly named. The projection figures the outline calls for — van</w:t>
      </w:r>
      <w:r>
        <w:t xml:space="preserve"> </w:t>
      </w:r>
      <w:r>
        <w:t xml:space="preserve">Vuuren markers as primary, SSPs as secondary, and a separate Ladrillo-vs-MAGICC comparison on</w:t>
      </w:r>
      <w:r>
        <w:t xml:space="preserve"> </w:t>
      </w:r>
      <w:r>
        <w:t xml:space="preserve">MAGICC's own climate — require the L24 van Vuuren and MAGICC-climate arms, which are being built;</w:t>
      </w:r>
      <w:r>
        <w:t xml:space="preserve"> </w:t>
      </w:r>
      <w:r>
        <w:t xml:space="preserve">they existed only for L21 and L23. Drawing them on a superseded vintage would have been the</w:t>
      </w:r>
      <w:r>
        <w:t xml:space="preserve"> </w:t>
      </w:r>
      <w:r>
        <w:t xml:space="preserve">like-for-like error this model's own documentation warns about.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2026-09-02T12:10:53Z</dcterms:created>
  <dcterms:modified xsi:type="dcterms:W3CDTF">2026-09-02T12:10:53Z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