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 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Dangendorf,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Antarctic amplification prior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Both hindcast arms are reproducible: every random seed is fixed and is recorded inside the output file read by each figure, so any number in this document can be regenerated precisely.</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(50 year relaxation and present-day temperatures) and outlet/dynamic discharge (170 year relaxation).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an additional 1 cm (SSP1-2.6, 2300) to 9 cm (SSP5-8.5, 2300) on the fixed-driver arm.</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two stages, whole-sheet. It has zero effect below the threshold.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 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267"/>
        <w:gridCol w:w="3009"/>
        <w:gridCol w:w="3643"/>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¹³</w:t>
            </w:r>
          </w:p>
        </w:tc>
        <w:tc>
          <w:tcPr/>
          <w:p>
            <w:pPr>
              <w:pStyle w:val="Compact"/>
            </w:pPr>
            <w:r>
              <w:t xml:space="preserve">The total, replacing the CSIRO (Church &amp; White 2011 lineage, 2015 update) reconstruction BRICK 2.0 was calibrated to. In L24 the total is not a likelihood term (it was dropped so that RGI 19 is constrained by its own observation rather than by budget closure); Dangendorf is the comparison target for the total in FIG 1 and Table 4.</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paper</w:t>
            </w:r>
            <w:r>
              <w:t xml:space="preserve"> </w:t>
            </w:r>
            <w:r>
              <w:rPr>
                <w:rStyle w:val="VerbatimChar"/>
              </w:rPr>
              <w:t xml:space="preserve">10.1038/s41586-024-08545-z</w:t>
            </w:r>
            <w:r>
              <w:t xml:space="preserve">¹⁴</w:t>
            </w:r>
          </w:p>
        </w:tc>
        <w:tc>
          <w:tcPr/>
          <w:p>
            <w:pPr>
              <w:pStyle w:val="Compact"/>
            </w:pPr>
            <w:r>
              <w:t xml:space="preserve">The modern glacier rate, spliced onto Frederikse. It includes Antarctic-periphery melt (RGI 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¹⁵</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catalogue¹⁶</w:t>
            </w:r>
          </w:p>
        </w:tc>
        <w:tc>
          <w:tcPr/>
          <w:p>
            <w:pPr>
              <w:pStyle w:val="Compact"/>
            </w:pPr>
            <w:r>
              <w:t xml:space="preserve">Prior on the Antarctic amplification; the warming-dependence and prior width of the Greenland amplification (its level is observed). The glacier-region amplifications are fitted to observations; the CMIP6 glacier panel served as a check only.</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the 16-parameter / 800,000-member ensemble shipped with MimiBRICK¹⁷</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paper Forster et al. 2026,</w:t>
            </w:r>
            <w:r>
              <w:t xml:space="preserve"> </w:t>
            </w:r>
            <w:r>
              <w:rPr>
                <w:rStyle w:val="VerbatimChar"/>
              </w:rPr>
              <w:t xml:space="preserve">10.5194/essd-18-3889-2026</w:t>
            </w:r>
            <w:r>
              <w:t xml:space="preserve">¹⁸</w:t>
            </w:r>
          </w:p>
        </w:tc>
        <w:tc>
          <w:tcPr/>
          <w:p>
            <w:pPr>
              <w:pStyle w:val="Compact"/>
            </w:pPr>
            <w:r>
              <w:t xml:space="preserve">Shown on FIG 1 as an independent consensus check on the total.</w:t>
            </w:r>
          </w:p>
        </w:tc>
      </w:tr>
    </w:tbl>
    <w:p>
      <w:pPr>
        <w:pStyle w:val="BodyText"/>
      </w:pPr>
      <w:r>
        <w:t xml:space="preserve">¹³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 ¹⁴ Acquired 2026-06-13. ¹⁵ Granule</w:t>
      </w:r>
      <w:r>
        <w:t xml:space="preserve"> </w:t>
      </w:r>
      <w:r>
        <w:rPr>
          <w:rStyle w:val="VerbatimChar"/>
        </w:rPr>
        <w:t xml:space="preserve">200204_202606</w:t>
      </w:r>
      <w:r>
        <w:t xml:space="preserve">. ¹⁶ Fetched 2026-07-21 to 2026-08-24 (Greenland panel 2026-08-18, glacier panel 2026-08-23); member ID recorded per model and the panel pinned to the fetched files, so a later catalogue change cannot swap the ensemble. ¹⁷ sha256[:16]</w:t>
      </w:r>
      <w:r>
        <w:t xml:space="preserve"> </w:t>
      </w:r>
      <w:r>
        <w:rPr>
          <w:rStyle w:val="VerbatimChar"/>
        </w:rPr>
        <w:t xml:space="preserve">0b53b45e2422563b</w:t>
      </w:r>
      <w:r>
        <w:t xml:space="preserve">; extracted 2026-08-24. ¹⁸ md5</w:t>
      </w:r>
      <w:r>
        <w:t xml:space="preserve"> </w:t>
      </w:r>
      <w:r>
        <w:rPr>
          <w:rStyle w:val="VerbatimChar"/>
        </w:rPr>
        <w:t xml:space="preserve">8ae5ac0041e26351b9f497f969bd0dab</w:t>
      </w:r>
      <w:r>
        <w:t xml:space="preserve">.</w:t>
      </w:r>
    </w:p>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Discrepancy terms.</w:t>
      </w:r>
      <w:r>
        <w:t xml:space="preserve"> </w:t>
      </w:r>
      <w:r>
        <w:t xml:space="preserve">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FIG 1 and Table 4 show the bare modules without δ(t), which keeps the comparison with BRICK 2.0, which has no such term, like-for-like.</w:t>
      </w:r>
    </w:p>
    <w:p>
      <w:pPr>
        <w:pStyle w:val="BodyText"/>
      </w:pPr>
      <w:r>
        <w:rPr>
          <w:b/>
          <w:bCs/>
        </w:rPr>
        <w:t xml:space="preserve">Sampler.</w:t>
      </w:r>
      <w:r>
        <w:t xml:space="preserve"> </w:t>
      </w:r>
      <w:r>
        <w:t xml:space="preserve">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w:t>
      </w:r>
      <w:r>
        <w:t xml:space="preserve"> </w:t>
      </w:r>
      <w:r>
        <w:rPr>
          <w:rStyle w:val="VerbatimChar"/>
        </w:rPr>
        <w:t xml:space="preserve">ais_iceflow0</w:t>
      </w:r>
      <w:r>
        <w:t xml:space="preserve">,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pPr>
        <w:pStyle w:val="BodyText"/>
      </w:pPr>
      <w:r>
        <w:rPr>
          <w:b/>
          <w:bCs/>
        </w:rPr>
        <w:t xml:space="preserve">Convergence criterion.</w:t>
      </w:r>
      <w:r>
        <w:t xml:space="preserve"> </w:t>
      </w:r>
      <w:r>
        <w:t xml:space="preserve">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w:t>
      </w:r>
      <w:r>
        <w:t xml:space="preserve"> </w:t>
      </w:r>
      <w:r>
        <w:rPr>
          <w:rStyle w:val="VerbatimChar"/>
        </w:rPr>
        <w:t xml:space="preserve">ais_iceflow0</w:t>
      </w:r>
      <w:r>
        <w:t xml:space="preserve"> </w:t>
      </w:r>
      <w:r>
        <w:t xml:space="preserve">R̂ = 1.26,</w:t>
      </w:r>
      <w:r>
        <w:t xml:space="preserve"> </w:t>
      </w:r>
      <w:r>
        <w:rPr>
          <w:rStyle w:val="VerbatimChar"/>
        </w:rPr>
        <w:t xml:space="preserve">antarctic_alpha</w:t>
      </w:r>
      <w:r>
        <w:t xml:space="preserve"> </w:t>
      </w:r>
      <w:r>
        <w:t xml:space="preserve">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 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 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The members with the strongest cooling (−1.5 to −2 K) give the largest Greenland melt (up to +343 cm from surface mass balance alone).</w:t>
      </w:r>
    </w:p>
    <w:bookmarkStart w:id="45" w:name="ssp-comparisons"/>
    <w:p>
      <w:pPr>
        <w:pStyle w:val="Heading3"/>
      </w:pPr>
      <w:r>
        <w:t xml:space="preserve">SSP comparisons</w:t>
      </w:r>
    </w:p>
    <w:p>
      <w:pPr>
        <w:pStyle w:val="FirstParagraph"/>
      </w:pPr>
      <w:r>
        <w:t xml:space="preserve">The SSP comparisons have similar results to the van Vuuren comparisons. Because SSP5-8.5 is</w:t>
      </w:r>
    </w:p>
    <w:p>
      <w:pPr>
        <w:pStyle w:val="BodyText"/>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RGI 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2026-09-14T14:52:33Z</dcterms:created>
  <dcterms:modified xsi:type="dcterms:W3CDTF">2026-09-14T14:52:33Z</dcterms:modified>
</cp:coreProperties>
</file>

<file path=docProps/custom.xml><?xml version="1.0" encoding="utf-8"?>
<Properties xmlns="http://schemas.openxmlformats.org/officeDocument/2006/custom-properties" xmlns:vt="http://schemas.openxmlformats.org/officeDocument/2006/docPropsVTypes"/>
</file>