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4.png" ContentType="image/png"/>
  <Override PartName="/word/media/rId39.png" ContentType="image/png"/>
  <Override PartName="/word/media/rId33.png" ContentType="image/png"/>
  <Override PartName="/word/media/rId36.png" ContentType="image/png"/>
  <Override PartName="/word/media/rId18.png" ContentType="image/png"/>
  <Override PartName="/word/media/rId21.png" ContentType="image/png"/>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is comparable in quality to other sea level emulators, and occupies its own niche.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 BRICK's design philosophy is to calibrate on historical data products rather than to emulate projections from process-based models, which is what makes it a line of evidence relatively independent of the large Earth system and ice sheet models. Ladrillo extends that philosophy where the data reach — the Antarctic likelihood now runs from 1900 rather than IMBIE's 1992–2017 window, and Dangendorf, GlaMBIE, GRACE and Mouginot are added — but departs from it for the two parameters described below, both in regimes with no observational constraints.</w:t>
      </w:r>
    </w:p>
    <w:p>
      <w:pPr>
        <w:pStyle w:val="BodyText"/>
      </w:pPr>
      <w:r>
        <w:t xml:space="preserve">There are two key parameters not constrained by observations that are included in Ladrillo. The first is a Greenland tap that triggers above a threshold temperature and is informed by SICOPOLIS. The second is the use of local temperature amplification relative to global that is informed by CMIP6 in addition to historic observations, and is relevant for Antarctic melt.</w:t>
      </w:r>
    </w:p>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each figure reads,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R19 — Antarctic and Subantarctic periphery.</w:t>
      </w:r>
      <w:r>
        <w:t xml:space="preserve"> </w:t>
      </w:r>
      <w:r>
        <w:t xml:space="preserve">This block exists because the historical glacier target (Frederikse) assumes zero Antarctic-periphery melt, while the GlaMBIE series spliced in from 2019 onward includes it. Folding R19 into either SLOWP or FAST would leave the model's hindcast scope mismatched. Keeping it separate lets the hindcast be evaluated on SLOWP + FAST while R19 still contributes to projected totals. Its amplification prior (0.72) is also far below the other two, so it is not physically interchangeable with them either.</w:t>
      </w:r>
    </w:p>
    <w:p>
      <w:pPr>
        <w:pStyle w:val="BodyText"/>
      </w:pPr>
      <w:r>
        <w:t xml:space="preserve">(The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mm, Ladrillo's 63–146 mm. The two models also start from different total glacier inventories. BRICK 2.0's calibrated initial volume centres on 0.42 m SLE (5–95% 0.32–0.52), inherited from the Wigley and Raper (2005) assumed maximum of 0.41 m; Ladrillo constrains the remaining stock at 2000 to 0.290 ± 0.060 m SLE on its target scope (Farinotti 2019 excluding RGI regions 5 and 19, plus 0.069 for region 19), with Millan 2022 agreeing to 1% on the matched scope. The full-RGI Farinotti value is 0.324 ± 0.084 m.</w:t>
      </w:r>
    </w:p>
    <w:p>
      <w:pPr>
        <w:pStyle w:val="BodyText"/>
      </w:pPr>
      <w:r>
        <w:rPr>
          <w:b/>
          <w:bCs/>
        </w:rPr>
        <w:t xml:space="preserve">Regrowth potential.</w:t>
      </w:r>
      <w:r>
        <w:t xml:space="preserve"> </w:t>
      </w:r>
      <w:r>
        <w:t xml:space="preserve">Neither BRICK nor FACTS can regrow glacial ice, but MAGICC and Ladrillo can.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fast surface-mass-balance channel responds to Greenland's local warming of about 1.2 °C during 1920–45 (in contrast to 0.2 °C globally), then local cooling through 1990 while the globe warmed. Meanwhile, the slow discharge channel carries the long-term trend. MAGICC similarly splits Greenland into SMB and SID and parameterises against SICOPOLIS, but with 17 parameters between the two, of which 9 vary and each of those takes only 4 distinct values.</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1.</w:t>
      </w:r>
      <w:r>
        <w:t xml:space="preserve"> </w:t>
      </w:r>
      <w:r>
        <w:t xml:space="preserve">Observational inputs added or replaced relative to BRICK 2.0, with the version of each as used in the calibration.</w:t>
      </w:r>
    </w:p>
    <w:tbl>
      <w:tblPr>
        <w:tblStyle w:val="Table"/>
        <w:tblW w:type="pct" w:w="5000"/>
        <w:tblLayout w:type="fixed"/>
        <w:tblLook w:firstRow="1" w:lastRow="0" w:firstColumn="0" w:lastColumn="0" w:noHBand="0" w:noVBand="0" w:val="0020"/>
      </w:tblPr>
      <w:tblGrid>
        <w:gridCol w:w="1320"/>
        <w:gridCol w:w="4092"/>
        <w:gridCol w:w="2508"/>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rPr>
                <w:b/>
                <w:bCs/>
              </w:rPr>
              <w:t xml:space="preserve">Dangendorf 2024</w:t>
            </w:r>
            <w:r>
              <w:t xml:space="preserve"> </w:t>
            </w:r>
            <w:r>
              <w:t xml:space="preserve">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w:t>
            </w:r>
            <w:r>
              <w:t xml:space="preserve"> </w:t>
            </w:r>
            <w:r>
              <w:rPr>
                <w:b/>
                <w:bCs/>
              </w:rPr>
              <w:t xml:space="preserve">not</w:t>
            </w:r>
            <w:r>
              <w:t xml:space="preserve"> </w:t>
            </w:r>
            <w:r>
              <w:t xml:space="preserve">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CSIRO (Church &amp; White 2011 lineage, 2015 update) reconstruction BRICK 2.0 was calibrated to.</w:t>
            </w:r>
          </w:p>
        </w:tc>
      </w:tr>
      <w:tr>
        <w:tc>
          <w:tcPr/>
          <w:p>
            <w:pPr>
              <w:pStyle w:val="Compact"/>
            </w:pPr>
            <w:r>
              <w:rPr>
                <w:b/>
                <w:bCs/>
              </w:rPr>
              <w:t xml:space="preserve">GlaMBIE</w:t>
            </w:r>
            <w:r>
              <w:t xml:space="preserve"> </w:t>
            </w:r>
            <w:r>
              <w:t xml:space="preserve">glacier series (2019 onward)</w:t>
            </w:r>
          </w:p>
        </w:tc>
        <w:tc>
          <w:tcPr/>
          <w:p>
            <w:pPr>
              <w:pStyle w:val="Compact"/>
            </w:pPr>
            <w:r>
              <w:t xml:space="preserve">Dataset</w:t>
            </w:r>
            <w:r>
              <w:t xml:space="preserve"> </w:t>
            </w:r>
            <w:r>
              <w:rPr>
                <w:b/>
                <w:bCs/>
              </w:rPr>
              <w:t xml:space="preserve">1.0.0</w:t>
            </w:r>
            <w:r>
              <w:t xml:space="preserve">,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(R19) which is excluded by Frederikse.</w:t>
            </w:r>
          </w:p>
        </w:tc>
      </w:tr>
      <w:tr>
        <w:tc>
          <w:tcPr/>
          <w:p>
            <w:pPr>
              <w:pStyle w:val="Compact"/>
            </w:pPr>
            <w:r>
              <w:rPr>
                <w:b/>
                <w:bCs/>
              </w:rPr>
              <w:t xml:space="preserve">JPL GRACE / GRACE-FO mascons</w:t>
            </w:r>
          </w:p>
        </w:tc>
        <w:tc>
          <w:tcPr/>
          <w:p>
            <w:pPr>
              <w:pStyle w:val="Compact"/>
            </w:pPr>
            <w:r>
              <w:t xml:space="preserve">Release</w:t>
            </w:r>
            <w:r>
              <w:t xml:space="preserve"> </w:t>
            </w:r>
            <w:r>
              <w:rPr>
                <w:b/>
                <w:bCs/>
              </w:rPr>
              <w:t xml:space="preserve">RL06.3Mv04 CRI</w:t>
            </w:r>
            <w:r>
              <w:t xml:space="preserve">,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 GRACE data run 2019–2023; the 2023 value is then held constant through 2026, the end of the calibration window. In projections LWS follows BRICK's stochastic land-water module from 2019.</w:t>
            </w:r>
          </w:p>
        </w:tc>
      </w:tr>
      <w:tr>
        <w:tc>
          <w:tcPr/>
          <w:p>
            <w:pPr>
              <w:pStyle w:val="Compact"/>
            </w:pPr>
            <w:r>
              <w:rPr>
                <w:b/>
                <w:bCs/>
              </w:rPr>
              <w:t xml:space="preserve">Mouginot</w:t>
            </w:r>
            <w:r>
              <w:t xml:space="preserve"> </w:t>
            </w:r>
            <w:r>
              <w:t xml:space="preserve">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rPr>
                <w:b/>
                <w:bCs/>
              </w:rPr>
              <w:t xml:space="preserve">Rignot 2019</w:t>
            </w:r>
            <w:r>
              <w:t xml:space="preserve"> </w:t>
            </w:r>
            <w:r>
              <w:t xml:space="preserve">Antarctic SMB, area-corrected ×0.888</w:t>
            </w:r>
          </w:p>
        </w:tc>
        <w:tc>
          <w:tcPr/>
          <w:p>
            <w:pPr>
              <w:pStyle w:val="Compact"/>
            </w:pPr>
            <w:r>
              <w:rPr>
                <w:i/>
                <w:iCs/>
              </w:rPr>
              <w:t xml:space="preserve">PNAS</w:t>
            </w:r>
            <w:r>
              <w:t xml:space="preserve"> </w:t>
            </w:r>
            <w:r>
              <w:t xml:space="preserve">116:1095; 2098 ± 133 Gt/yr over the 1979–2008 climatology, entered as published values</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rPr>
                <w:b/>
                <w:bCs/>
              </w:rPr>
              <w:t xml:space="preserve">Glacier inventory</w:t>
            </w:r>
            <w:r>
              <w:t xml:space="preserve"> </w:t>
            </w:r>
            <w:r>
              <w:t xml:space="preserve">likelihood + a 19th-century flow constraint,</w:t>
            </w:r>
            <w:r>
              <w:t xml:space="preserve"> </w:t>
            </w:r>
            <w:r>
              <w:rPr>
                <w:rStyle w:val="VerbatimChar"/>
              </w:rPr>
              <w:t xml:space="preserve">S(1900) − S(1850) ~ N(0.020, 0.009)</w:t>
            </w:r>
            <w:r>
              <w:t xml:space="preserve"> </w:t>
            </w:r>
            <w:r>
              <w:t xml:space="preserve">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entered as published values; region polygons GTN-G Glacier Regions</w:t>
            </w:r>
            <w:r>
              <w:t xml:space="preserve"> </w:t>
            </w:r>
            <w:r>
              <w:rPr>
                <w:b/>
                <w:bCs/>
              </w:rPr>
              <w:t xml:space="preserve">2023</w:t>
            </w:r>
            <w:r>
              <w:t xml:space="preserve">, DOI</w:t>
            </w:r>
            <w:r>
              <w:t xml:space="preserve"> </w:t>
            </w:r>
            <w:r>
              <w:rPr>
                <w:rStyle w:val="VerbatimChar"/>
              </w:rPr>
              <w:t xml:space="preserve">10.5904/gtng-glacreg-2023-07</w:t>
            </w:r>
            <w:r>
              <w:t xml:space="preserve">, on the</w:t>
            </w:r>
            <w:r>
              <w:t xml:space="preserve"> </w:t>
            </w:r>
            <w:r>
              <w:rPr>
                <w:b/>
                <w:bCs/>
              </w:rPr>
              <w:t xml:space="preserve">RGI6</w:t>
            </w:r>
            <w:r>
              <w:t xml:space="preserve"> </w:t>
            </w:r>
            <w:r>
              <w:t xml:space="preserve">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w:t>
            </w:r>
          </w:p>
        </w:tc>
      </w:tr>
      <w:tr>
        <w:tc>
          <w:tcPr/>
          <w:p>
            <w:pPr>
              <w:pStyle w:val="Compact"/>
            </w:pPr>
            <w:r>
              <w:rPr>
                <w:b/>
                <w:bCs/>
              </w:rPr>
              <w:t xml:space="preserve">CMIP6 regional amplification</w:t>
            </w:r>
            <w:r>
              <w:t xml:space="preserve"> </w:t>
            </w:r>
            <w:r>
              <w:t xml:space="preserve">(34–41 models)</w:t>
            </w:r>
          </w:p>
        </w:tc>
        <w:tc>
          <w:tcPr/>
          <w:p>
            <w:pPr>
              <w:pStyle w:val="Compact"/>
            </w:pPr>
            <w:r>
              <w:t xml:space="preserve">Pangeo/Google-Cloud CMIP6 zarr catalogue, fetched 2026-07-21 to 2026-08-24 (Greenland panel 2026-08-18, glacier panel 2026-08-23); member ID recorded per model and the panel pinned to the fetched files, so a later catalogue change cannot swap the ensemble</w:t>
            </w:r>
          </w:p>
        </w:tc>
        <w:tc>
          <w:tcPr/>
          <w:p>
            <w:pPr>
              <w:pStyle w:val="Compact"/>
            </w:pPr>
            <w:r>
              <w:t xml:space="preserve">Priors on the per-block glacier amplification and on Antarctic amplification.</w:t>
            </w:r>
          </w:p>
        </w:tc>
      </w:tr>
      <w:tr>
        <w:tc>
          <w:tcPr/>
          <w:p>
            <w:pPr>
              <w:pStyle w:val="Compact"/>
            </w:pPr>
            <w:r>
              <w:rPr>
                <w:b/>
                <w:bCs/>
              </w:rPr>
              <w:t xml:space="preserve">Paleo constraints</w:t>
            </w:r>
            <w:r>
              <w:t xml:space="preserve"> </w:t>
            </w:r>
            <w:r>
              <w:t xml:space="preserve">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rPr>
                <w:b/>
                <w:bCs/>
              </w:rPr>
              <w:t xml:space="preserve">IGCC 2025-indicators</w:t>
            </w:r>
            <w:r>
              <w:t xml:space="preserve"> </w:t>
            </w:r>
            <w:r>
              <w:t xml:space="preserve">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 independent consensus check on the total.</w:t>
            </w:r>
          </w:p>
        </w:tc>
      </w:tr>
    </w:tbl>
    <w:p>
      <w:pPr>
        <w:pStyle w:val="BodyText"/>
      </w:pPr>
      <w:r>
        <w:t xml:space="preserve">Two kinds of source carry no dataset version. Rignot 2019 and the Farinotti/Hock inventory are values taken from published papers rather than from versioned data products, so the citation is the version. The CMIP6 panel and the NOAA thermosteric series are live products with no release string; for those the download date is the version and is given.</w:t>
      </w:r>
    </w:p>
    <w:p>
      <w:pPr>
        <w:pStyle w:val="BodyText"/>
      </w:pPr>
      <w:r>
        <w:rPr>
          <w:b/>
          <w:bCs/>
        </w:rPr>
        <w:t xml:space="preserve">Deliberately removed: IMBIE</w:t>
      </w:r>
      <w:r>
        <w:t xml:space="preserve">, dropped from the Antarctic likelihood to avoid double-weighting the same mass-balance information already entering through other terms.</w:t>
      </w:r>
    </w:p>
    <w:p>
      <w:pPr>
        <w:pStyle w:val="BodyText"/>
      </w:pPr>
      <w:r>
        <w:rPr>
          <w:b/>
          <w:bCs/>
        </w:rPr>
        <w:t xml:space="preserve">Forcing.</w:t>
      </w:r>
      <w:r>
        <w:t xml:space="preserve"> </w:t>
      </w:r>
      <w:r>
        <w:rPr>
          <w:b/>
          <w:bCs/>
        </w:rPr>
        <w:t xml:space="preserve">FaIR 2.2.4 (fair-calibrate 1.6.0)</w:t>
      </w:r>
      <w:r>
        <w:t xml:space="preserve">, driven by CMIP7 historical emissions 1750–2023 spliced at 2023.5 to MESSAGE-GLOBIOM SSP2-4.5 and harmonized per species. The calibration's fit window runs to 2026, so its last three years are driven by the scenario rather than by the historical emissions inventory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rPr>
          <w:b/>
          <w:bCs/>
        </w:rPr>
        <w:t xml:space="preserve">58 parameters are sampled</w:t>
      </w:r>
      <w:r>
        <w:t xml:space="preserve">: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−0.0096 cm against −1.9579 cm, and 1950–1992 +0.0027 cm against −0.7053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integrated from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(tag</w:t>
      </w:r>
      <w:r>
        <w:t xml:space="preserve"> </w:t>
      </w:r>
      <w:r>
        <w:rPr>
          <w:rStyle w:val="VerbatimChar"/>
        </w:rPr>
        <w:t xml:space="preserve">v2026.06.02</w:t>
      </w:r>
      <w:r>
        <w:t xml:space="preserve">) as an independent consensus check, not a calibration target. Land-water storage is observational — neither model predicts it, so panel (e) shows the observed series alone and both totals carry it.</w:t>
      </w:r>
    </w:p>
    <w:p>
      <w:pPr>
        <w:pStyle w:val="BodyText"/>
      </w:pPr>
      <w:r>
        <w:rPr>
          <w:b/>
          <w:bCs/>
        </w:rPr>
        <w:t xml:space="preserve">Table 2.</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20"/>
        <w:gridCol w:w="1320"/>
        <w:gridCol w:w="1188"/>
        <w:gridCol w:w="1320"/>
        <w:gridCol w:w="118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 about 90% cancels. Ladrillo's biases are small but almost all positive, summing to +1.95 cm out of 1.97 cm, so essentially none cancels.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happen to oppose one another. 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 — a caveat that carries</w:t>
      </w:r>
      <w:r>
        <w:t xml:space="preserve"> </w:t>
      </w:r>
      <w:r>
        <w:rPr>
          <w:i/>
          <w:iCs/>
        </w:rPr>
        <w:t xml:space="preserve">more</w:t>
      </w:r>
      <w:r>
        <w:t xml:space="preserve"> </w:t>
      </w:r>
      <w:r>
        <w:t xml:space="preserve">weight in the earliest, sparsest-observation window than anywhere else.</w:t>
      </w:r>
    </w:p>
    <w:p>
      <w:pPr>
        <w:pStyle w:val="BodyText"/>
      </w:pPr>
      <w:r>
        <w:t xml:space="preserve">Ladrillo is closer to the observations than BRICK 2.0 on every ice component, particularly in early eras. Cumulative total sea level rise, comparing the 1900–1904 mean with the 2020–2024 mean: observed +21.00 cm, Ladrillo +19.84, BRICK 2.0 +21.34 — Ladrillo undershoots by 1.2 cm, BRICK overshoots by 0.3. Over the shorter, more recent window — the level at 2024 relative to the 1995–2005 baseline — both models still run high, but only slightly: observed +7.81 cm, Ladrillo +8.16 (+0.36) and BRICK 2.0 +8.34 (+0.54), with IGCC's independent GMSL estimate between them at +8.21. Each of those means is taken over the three years 2022–2024, the years for which the observational total exists.</w:t>
      </w:r>
    </w:p>
    <w:p>
      <w:pPr>
        <w:pStyle w:val="BodyText"/>
      </w:pPr>
      <w:r>
        <w:rPr>
          <w:b/>
          <w:bCs/>
        </w:rPr>
        <w:t xml:space="preserve">For thermal expansion Ladrillo overshoots, and the cause is FaIR.</w:t>
      </w:r>
      <w:r>
        <w:t xml:space="preserve"> </w:t>
      </w:r>
      <w:r>
        <w:t xml:space="preserve">In both Ladrillo and BRICK thermal expansion is</w:t>
      </w:r>
      <w:r>
        <w:t xml:space="preserve"> </w:t>
      </w:r>
      <w:r>
        <w:rPr>
          <w:i/>
          <w:iCs/>
        </w:rPr>
        <w:t xml:space="preserve">exactly</w:t>
      </w:r>
      <w:r>
        <w:t xml:space="preserve"> </w:t>
      </w:r>
      <w:r>
        <w:t xml:space="preserve">proportional to the ocean heat they are given. When given the FaIR driver, both models overestimate recent thermal expansion (BRICK 2.0 misses the 1993-2026 thermal expansion rate by 1.17× compared to Ladrillo's 1.27×). However, when using observed OHC Ladrillo reproduces steric changes within 4% at every era. Roughly half the apparent miss is depth scope: FaIR's ocean heat is full-depth while the steric target is 0–2000 m, and correcting on IGCC's own &gt;2000 m layer narrows the 1993–2026 rate ratio from 1.27× to as little as 1.15× — an upper bound on the correction, not a point estimate, since deep water expands less per joule than the heat ratio implies. A depth-resolved coefficient was tested and failed, though that may reflect observational uncertainty — the two spliced observed-OHC series we use, Zanna+Cheng and Zanna+IGCC, differ by 51% on 1950–1993 ocean heat gain (35% on five-year mean endpoints).</w:t>
      </w:r>
    </w:p>
    <w:bookmarkEnd w:id="17"/>
    <w:bookmarkStart w:id="45" w:name="ladrillo-projection-comparison"/>
    <w:p>
      <w:pPr>
        <w:pStyle w:val="Heading2"/>
      </w:pPr>
      <w:r>
        <w:t xml:space="preserve">Ladrillo Projection Comparison</w:t>
      </w:r>
    </w:p>
    <w:p>
      <w:pPr>
        <w:pStyle w:val="FirstParagraph"/>
      </w:pPr>
      <w:r>
        <w:t xml:space="preserve">The van Vuuren markers are the</w:t>
      </w:r>
      <w:r>
        <w:t xml:space="preserve"> </w:t>
      </w:r>
      <w:r>
        <w:rPr>
          <w:b/>
          <w:bCs/>
        </w:rPr>
        <w:t xml:space="preserve">primary</w:t>
      </w:r>
      <w:r>
        <w:t xml:space="preserve"> </w:t>
      </w:r>
      <w:r>
        <w:t xml:space="preserve">comparison; the SSPs are a secondary set and the control, being the only scenarios with a prior result to check the pipeline against. All Ladrillo bands are the</w:t>
      </w:r>
      <w:r>
        <w:t xml:space="preserve"> </w:t>
      </w:r>
      <w:r>
        <w:rPr>
          <w:b/>
          <w:bCs/>
        </w:rPr>
        <w:t xml:space="preserve">joint</w:t>
      </w:r>
      <w:r>
        <w:t xml:space="preserve"> </w:t>
      </w:r>
      <w:r>
        <w:t xml:space="preserve">(posterior × FaIR-forcing) arm, width-comparable to MAGICC and FACTS; BRICK 2.0's joint band uses the same cubes, splice pivot and pair seed. Bars are 17–83% (thick) and 5–95% (thin). All four sources carry climate uncertainty — Ladrillo from 841 FaIR configs, MAGICC-SLR from its 600-member AR6 drawnset, FACTS from its own internal ensembles — so the widths are the same kind of object and are comparable; they are not the same ensemble, and both joint arms are prior propagations rather than refits, since each posterior was calibrated under fixed forcing. FACTS is reported relative to baseyear 2005, treated as comparable to the 1995–2014 mean, which is the standing convention for this comparison. In the trajectory figure the two arms share cubes, splice pivot, re-reference and pairing seed, so their widths are directly comparable, but Ladrillo is thinned to 8000 draws against BRICK 2.0's 1000.</w:t>
      </w:r>
    </w:p>
    <w:p>
      <w:pPr>
        <w:pStyle w:val="BodyText"/>
      </w:pPr>
      <w:r>
        <w:t xml:space="preserve">On glaciers, Ladrillo and MAGICC-SLR share the Nauels 2017 transient, so that panel compares reservoir count, driver and posterior within one formulation family rather than two independent methods; BRICK 2.0 and FACTS are independent there. At Greenland all four formulations differ. At Antarctica and thermal expansion the lineage runs the other way: Ladrillo and BRICK 2.0 share a formulation — DAIS for the ice sheet, and expansion proportional to ocean heat — and differ in calibration, so agreement between those two is corroboration rather than independent evidence, while FACTS (LARMIP, DeConto, Bamber, AR5 and emulated ice-sheet modules; a two-layer expansion model) and MAGICC-SLR are separate on both.</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w:t>
      </w:r>
      <w:r>
        <w:t xml:space="preserve"> </w:t>
      </w:r>
      <w:r>
        <w:rPr>
          <w:b/>
          <w:bCs/>
        </w:rPr>
        <w:t xml:space="preserve">2100</w:t>
      </w:r>
      <w:r>
        <w:t xml:space="preserve">, by component.</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w:t>
      </w:r>
      <w:r>
        <w:t xml:space="preserve"> </w:t>
      </w:r>
      <w:r>
        <w:rPr>
          <w:b/>
          <w:bCs/>
        </w:rPr>
        <w:t xml:space="preserve">2150</w:t>
      </w:r>
      <w:r>
        <w:t xml:space="preserve">.</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w:t>
      </w:r>
      <w:r>
        <w:t xml:space="preserve"> </w:t>
      </w:r>
      <w:r>
        <w:rPr>
          <w:b/>
          <w:bCs/>
        </w:rPr>
        <w:t xml:space="preserve">2300</w:t>
      </w:r>
      <w:r>
        <w:t xml:space="preserve">.</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w:t>
      </w:r>
    </w:p>
    <w:p>
      <w:pPr>
        <w:pStyle w:val="BodyText"/>
      </w:pPr>
      <w:r>
        <w:drawing>
          <wp:inline>
            <wp:extent cx="5334000" cy="5155273"/>
            <wp:effectExtent b="0" l="0" r="0" t="0"/>
            <wp:docPr descr="Glacier response on the declining marker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155273"/>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markers: GMST forcing (a), cumulative glacier melt (b), and the melt rate on the peak-and-decline pathways (c). Regrowth appears where temperature declines, because the three reservoirs equilibrate to the prevailing temperature rather than melting toward a fixed ceiling.</w:t>
      </w:r>
    </w:p>
    <w:bookmarkStart w:id="42" w:name="secondary-the-ssps"/>
    <w:p>
      <w:pPr>
        <w:pStyle w:val="Heading3"/>
      </w:pPr>
      <w:r>
        <w:t xml:space="preserve">Secondary: the SSPs</w:t>
      </w:r>
    </w:p>
    <w:p>
      <w:pPr>
        <w:pStyle w:val="FirstParagraph"/>
      </w:pPr>
      <w:r>
        <w:drawing>
          <wp:inline>
            <wp:extent cx="5334000" cy="3090041"/>
            <wp:effectExtent b="0" l="0" r="0" t="0"/>
            <wp:docPr descr="Component comparison at 2100" title="" id="34" name="Picture"/>
            <a:graphic>
              <a:graphicData uri="http://schemas.openxmlformats.org/drawingml/2006/picture">
                <pic:pic>
                  <pic:nvPicPr>
                    <pic:cNvPr descr="figures/model_comparison_components_L24_2100.png" id="35" name="Picture"/>
                    <pic:cNvPicPr>
                      <a:picLocks noChangeArrowheads="1" noChangeAspect="1"/>
                    </pic:cNvPicPr>
                  </pic:nvPicPr>
                  <pic:blipFill>
                    <a:blip r:embed="rId33"/>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The SSP comparison at</w:t>
      </w:r>
      <w:r>
        <w:t xml:space="preserve"> </w:t>
      </w:r>
      <w:r>
        <w:rPr>
          <w:b/>
          <w:bCs/>
        </w:rPr>
        <w:t xml:space="preserve">2100</w:t>
      </w:r>
      <w:r>
        <w:t xml:space="preserve">.</w:t>
      </w:r>
    </w:p>
    <w:p>
      <w:pPr>
        <w:pStyle w:val="BodyText"/>
      </w:pPr>
      <w:r>
        <w:drawing>
          <wp:inline>
            <wp:extent cx="5334000" cy="3090041"/>
            <wp:effectExtent b="0" l="0" r="0" t="0"/>
            <wp:docPr descr="Component comparison at 2300" title="" id="37" name="Picture"/>
            <a:graphic>
              <a:graphicData uri="http://schemas.openxmlformats.org/drawingml/2006/picture">
                <pic:pic>
                  <pic:nvPicPr>
                    <pic:cNvPr descr="figures/model_comparison_components_L24_23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w:t>
      </w:r>
      <w:r>
        <w:t xml:space="preserve"> </w:t>
      </w:r>
      <w:r>
        <w:rPr>
          <w:b/>
          <w:bCs/>
        </w:rPr>
        <w:t xml:space="preserve">2300</w:t>
      </w:r>
      <w:r>
        <w:t xml:space="preserve">, with FACTS run to 2300 on the same shared driver as at 2100 and 2150. The FACTS AR5 glacier module sits at its ceiling (31.6 cm) under SSP2-4.5 and SSP5-8.5.</w:t>
      </w:r>
    </w:p>
    <w:p>
      <w:pPr>
        <w:pStyle w:val="BodyText"/>
      </w:pPr>
      <w:r>
        <w:drawing>
          <wp:inline>
            <wp:extent cx="5334000" cy="2133600"/>
            <wp:effectExtent b="0" l="0" r="0" t="0"/>
            <wp:docPr descr="Total sea level by SSP" title="" id="40" name="Picture"/>
            <a:graphic>
              <a:graphicData uri="http://schemas.openxmlformats.org/drawingml/2006/picture">
                <pic:pic>
                  <pic:nvPicPr>
                    <pic:cNvPr descr="figures/ladrillo_L24_fig2_ssp_total.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Total sea level by SSP, Ladrillo L24 joint band. Totals at 2300:</w:t>
      </w:r>
      <w:r>
        <w:t xml:space="preserve"> </w:t>
      </w:r>
      <w:r>
        <w:rPr>
          <w:b/>
          <w:bCs/>
        </w:rPr>
        <w:t xml:space="preserve">72.6 cm</w:t>
      </w:r>
      <w:r>
        <w:t xml:space="preserve"> </w:t>
      </w:r>
      <w:r>
        <w:t xml:space="preserve">(SSP1-2.6),</w:t>
      </w:r>
      <w:r>
        <w:t xml:space="preserve"> </w:t>
      </w:r>
      <w:r>
        <w:rPr>
          <w:b/>
          <w:bCs/>
        </w:rPr>
        <w:t xml:space="preserve">249.2 cm</w:t>
      </w:r>
      <w:r>
        <w:t xml:space="preserve"> </w:t>
      </w:r>
      <w:r>
        <w:t xml:space="preserve">(SSP2-4.5),</w:t>
      </w:r>
      <w:r>
        <w:t xml:space="preserve"> </w:t>
      </w:r>
      <w:r>
        <w:rPr>
          <w:b/>
          <w:bCs/>
        </w:rPr>
        <w:t xml:space="preserve">516.7 cm</w:t>
      </w:r>
      <w:r>
        <w:t xml:space="preserve"> </w:t>
      </w:r>
      <w:r>
        <w:t xml:space="preserve">(SSP5-8.5).</w:t>
      </w:r>
    </w:p>
    <w:bookmarkEnd w:id="42"/>
    <w:bookmarkStart w:id="43"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was therefore re-run on MAGICC's climate to test which differences were due to sea level module versus climate module.</w:t>
      </w:r>
    </w:p>
    <w:bookmarkEnd w:id="43"/>
    <w:bookmarkStart w:id="44"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Ladrillo is comparable to the other models at 2100. By 2300 it separates upward from BRICK 2.0 (due largely to Antarctic threshold behavior) but stays below MAGICC-SLR's steeper rise (439 cm vs. 570 cm, median). Its 2300 spread is dominated by the prior for</w:t>
      </w:r>
      <w:r>
        <w:t xml:space="preserve"> </w:t>
      </w:r>
      <w:r>
        <w:rPr>
          <w:rStyle w:val="VerbatimChar"/>
        </w:rPr>
        <w:t xml:space="preserve">antarctic_lambda</w:t>
      </w:r>
      <w:r>
        <w:t xml:space="preserve">.</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and FACTS's 148. On spread it is narrower than both BRICK 2.0 and FACTS on every component; MAGICC-SLR is the narrow outlier throughout (2300 total 5–95% width 67 cm against Ladrillo's 163, BRICK 2.0's 182 and FACTS's 259), and it is only against MAGICC-SLR that Ladrillo's Antarctic and thermal-expansion bands are the wider ones.</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4" Target="media/rId14.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2026-09-11T18:46:11Z</dcterms:created>
  <dcterms:modified xsi:type="dcterms:W3CDTF">2026-09-11T18:46:11Z</dcterms:modified>
</cp:coreProperties>
</file>

<file path=docProps/custom.xml><?xml version="1.0" encoding="utf-8"?>
<Properties xmlns="http://schemas.openxmlformats.org/officeDocument/2006/custom-properties" xmlns:vt="http://schemas.openxmlformats.org/officeDocument/2006/docPropsVTypes"/>
</file>