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l24"/>
    <w:p>
      <w:pPr>
        <w:pStyle w:val="Heading1"/>
      </w:pPr>
      <w:r>
        <w:t xml:space="preserve">Ladrillo (L24)</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w:t>
      </w:r>
    </w:p>
    <w:p>
      <w:pPr>
        <w:pStyle w:val="BlockText"/>
      </w:pPr>
      <w:r>
        <w:rPr>
          <w:b/>
          <w:bCs/>
        </w:rPr>
        <w:t xml:space="preserve">Vintage.</w:t>
      </w:r>
      <w:r>
        <w:t xml:space="preserve"> </w:t>
      </w:r>
      <w:r>
        <w:t xml:space="preserve">This document describes posterior</w:t>
      </w:r>
      <w:r>
        <w:t xml:space="preserve"> </w:t>
      </w:r>
      <w:r>
        <w:rPr>
          <w:b/>
          <w:bCs/>
        </w:rPr>
        <w:t xml:space="preserve">L24</w:t>
      </w:r>
      <w:r>
        <w:t xml:space="preserve">. Basis for every number below:</w:t>
      </w:r>
      <w:r>
        <w:t xml:space="preserve"> </w:t>
      </w:r>
      <w:r>
        <w:rPr>
          <w:b/>
          <w:bCs/>
        </w:rPr>
        <w:t xml:space="preserve">cm, re-referenced to 1995–2014</w:t>
      </w:r>
      <w:r>
        <w:t xml:space="preserv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w:t>
      </w:r>
      <w:r>
        <w:t xml:space="preserve"> </w:t>
      </w:r>
      <w:r>
        <w:rPr>
          <w:b/>
          <w:bCs/>
        </w:rPr>
        <w:t xml:space="preserve">Mengel-style equilibrium volume</w:t>
      </w:r>
      <w:r>
        <w:t xml:space="preserve"> </w:t>
      </w:r>
      <w:r>
        <w:rPr>
          <w:rStyle w:val="VerbatimChar"/>
        </w:rPr>
        <w:t xml:space="preserve">S_eq</w:t>
      </w:r>
      <w:r>
        <w:t xml:space="preserve"> </w:t>
      </w:r>
      <w:r>
        <w:rPr>
          <w:b/>
          <w:bCs/>
        </w:rPr>
        <w:t xml:space="preserve">driven by a Nauels-ν transient</w:t>
      </w:r>
      <w:r>
        <w:t xml:space="preserve">,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w:t>
      </w:r>
      <w:r>
        <w:t xml:space="preserve"> </w:t>
      </w:r>
      <w:r>
        <w:rPr>
          <w:b/>
          <w:bCs/>
        </w:rPr>
        <w:t xml:space="preserve">one body with one response channel</w:t>
      </w:r>
      <w:r>
        <w:t xml:space="preserve">. Ladrillo replaces that with a</w:t>
      </w:r>
      <w:r>
        <w:t xml:space="preserve"> </w:t>
      </w:r>
      <w:r>
        <w:rPr>
          <w:b/>
          <w:bCs/>
        </w:rPr>
        <w:t xml:space="preserve">two-channel, two-basin sheet</w:t>
      </w:r>
      <w:r>
        <w:t xml:space="preserve">.</w:t>
      </w:r>
    </w:p>
    <w:p>
      <w:pPr>
        <w:pStyle w:val="BodyText"/>
      </w:pPr>
      <w:r>
        <w:rPr>
          <w:b/>
          <w:bCs/>
        </w:rPr>
        <w:t xml:space="preserve">Two channels (fast / slow).</w:t>
      </w:r>
      <w:r>
        <w:t xml:space="preserve"> </w:t>
      </w:r>
      <w:r>
        <w:t xml:space="preserve">Greenland melt occurs through surface-mass-balance response (slow) and outlet/dynamic discharge (fast). Two channels allow for that partition.</w:t>
      </w:r>
    </w:p>
    <w:p>
      <w:pPr>
        <w:pStyle w:val="BodyText"/>
      </w:pPr>
      <w:r>
        <w:rPr>
          <w:b/>
          <w:bCs/>
        </w:rPr>
        <w:t xml:space="preserve">Two basins.</w:t>
      </w:r>
      <w:r>
        <w:t xml:space="preserve"> </w:t>
      </w:r>
      <w:r>
        <w:t xml:space="preserve">The sheet is split into an</w:t>
      </w:r>
      <w:r>
        <w:t xml:space="preserve"> </w:t>
      </w:r>
      <w:r>
        <w:rPr>
          <w:b/>
          <w:bCs/>
        </w:rPr>
        <w:t xml:space="preserve">active</w:t>
      </w:r>
      <w:r>
        <w:t xml:space="preserve"> </w:t>
      </w:r>
      <w:r>
        <w:t xml:space="preserve">basin (SW+CW+CE+SE+NW) and a</w:t>
      </w:r>
      <w:r>
        <w:t xml:space="preserve"> </w:t>
      </w:r>
      <w:r>
        <w:rPr>
          <w:b/>
          <w:bCs/>
        </w:rPr>
        <w:t xml:space="preserve">high</w:t>
      </w:r>
      <w:r>
        <w:t xml:space="preserve"> </w:t>
      </w:r>
      <w:r>
        <w:t xml:space="preserve">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exactly zero at SSP1-2.6 and SSP2-4.5 and 41.8 cm to the SSP5-8.5 total at 2300.</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source</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The modern glacier rate, spliced onto Frederikse. It</w:t>
            </w:r>
            <w:r>
              <w:t xml:space="preserve"> </w:t>
            </w:r>
            <w:r>
              <w:rPr>
                <w:b/>
                <w:bCs/>
              </w:rPr>
              <w:t xml:space="preserve">includes</w:t>
            </w:r>
            <w:r>
              <w:t xml:space="preserve"> </w:t>
            </w:r>
            <w:r>
              <w:t xml:space="preserve">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Land-water storage 2019–2026, which had been held flat; the closure σ is trend-extended over the same period.</w:t>
            </w:r>
          </w:p>
        </w:tc>
      </w:tr>
      <w:tr>
        <w:tc>
          <w:tcPr/>
          <w:p>
            <w:pPr>
              <w:pStyle w:val="Compact"/>
            </w:pPr>
            <w:r>
              <w:rPr>
                <w:b/>
                <w:bCs/>
              </w:rPr>
              <w:t xml:space="preserve">Mouginot</w:t>
            </w:r>
            <w:r>
              <w:t xml:space="preserve"> </w:t>
            </w:r>
            <w:r>
              <w:t xml:space="preserve">Greenland sector shares</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t xml:space="preserve">The seven freed geometry parameters (below).</w:t>
            </w:r>
          </w:p>
        </w:tc>
      </w:tr>
    </w:tbl>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 CMIP7 history to 2023)</w:t>
      </w:r>
      <w:r>
        <w:t xml:space="preserve">.</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Three Antarctic changes carry the improvement.</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This change fixed the pre-1990 Antarctic melt: with the geometry fixed at the prior medoid, BRICK 2.0 draws far more early-20th-century Antarctic mass loss than the record supports, while Ladrillo tracks the observations to within a hundredth of a centimetre.</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constrained by observation — the posterior is very close to the prior — and a one-sigma change moves Antarctic sea level at 2300 by about 69 cm on SSP5-8.5, roughly 13% of that scenario's total.</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1900–2026, against the calibration targets.</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0.005</w:t>
            </w:r>
          </w:p>
        </w:tc>
        <w:tc>
          <w:tcPr/>
          <w:p>
            <w:pPr>
              <w:pStyle w:val="Compact"/>
            </w:pPr>
            <w:r>
              <w:rPr>
                <w:b/>
                <w:bCs/>
              </w:rPr>
              <w:t xml:space="preserve">0.010</w:t>
            </w:r>
          </w:p>
        </w:tc>
        <w:tc>
          <w:tcPr/>
          <w:p>
            <w:pPr>
              <w:pStyle w:val="Compact"/>
            </w:pPr>
            <w:r>
              <w:t xml:space="preserve">0.555</w:t>
            </w:r>
          </w:p>
        </w:tc>
        <w:tc>
          <w:tcPr/>
          <w:p>
            <w:pPr>
              <w:pStyle w:val="Compact"/>
            </w:pPr>
            <w:r>
              <w:rPr>
                <w:b/>
                <w:bCs/>
              </w:rPr>
              <w:t xml:space="preserve">0.027</w:t>
            </w:r>
          </w:p>
        </w:tc>
      </w:tr>
      <w:tr>
        <w:tc>
          <w:tcPr/>
          <w:p>
            <w:pPr>
              <w:pStyle w:val="Compact"/>
            </w:pPr>
            <w:r>
              <w:t xml:space="preserve">Greenland</w:t>
            </w:r>
          </w:p>
        </w:tc>
        <w:tc>
          <w:tcPr/>
          <w:p>
            <w:pPr>
              <w:pStyle w:val="Compact"/>
            </w:pPr>
            <w:r>
              <w:rPr>
                <w:b/>
                <w:bCs/>
              </w:rPr>
              <w:t xml:space="preserve">0.103</w:t>
            </w:r>
          </w:p>
        </w:tc>
        <w:tc>
          <w:tcPr/>
          <w:p>
            <w:pPr>
              <w:pStyle w:val="Compact"/>
            </w:pPr>
            <w:r>
              <w:rPr>
                <w:b/>
                <w:bCs/>
              </w:rPr>
              <w:t xml:space="preserve">0.054</w:t>
            </w:r>
          </w:p>
        </w:tc>
        <w:tc>
          <w:tcPr/>
          <w:p>
            <w:pPr>
              <w:pStyle w:val="Compact"/>
            </w:pPr>
            <w:r>
              <w:t xml:space="preserve">0.272</w:t>
            </w:r>
          </w:p>
        </w:tc>
        <w:tc>
          <w:tcPr/>
          <w:p>
            <w:pPr>
              <w:pStyle w:val="Compact"/>
            </w:pPr>
            <w:r>
              <w:rPr>
                <w:b/>
                <w:bCs/>
              </w:rPr>
              <w:t xml:space="preserve">0.082</w:t>
            </w:r>
          </w:p>
        </w:tc>
      </w:tr>
      <w:tr>
        <w:tc>
          <w:tcPr/>
          <w:p>
            <w:pPr>
              <w:pStyle w:val="Compact"/>
            </w:pPr>
            <w:r>
              <w:t xml:space="preserve">Glaciers</w:t>
            </w:r>
          </w:p>
        </w:tc>
        <w:tc>
          <w:tcPr/>
          <w:p>
            <w:pPr>
              <w:pStyle w:val="Compact"/>
            </w:pPr>
            <w:r>
              <w:rPr>
                <w:b/>
                <w:bCs/>
              </w:rPr>
              <w:t xml:space="preserve">0.361</w:t>
            </w:r>
          </w:p>
        </w:tc>
        <w:tc>
          <w:tcPr/>
          <w:p>
            <w:pPr>
              <w:pStyle w:val="Compact"/>
            </w:pPr>
            <w:r>
              <w:t xml:space="preserve">1.027</w:t>
            </w:r>
          </w:p>
        </w:tc>
        <w:tc>
          <w:tcPr/>
          <w:p>
            <w:pPr>
              <w:pStyle w:val="Compact"/>
            </w:pPr>
            <w:r>
              <w:rPr>
                <w:b/>
                <w:bCs/>
              </w:rPr>
              <w:t xml:space="preserve">0.355</w:t>
            </w:r>
          </w:p>
        </w:tc>
        <w:tc>
          <w:tcPr/>
          <w:p>
            <w:pPr>
              <w:pStyle w:val="Compact"/>
            </w:pPr>
            <w:r>
              <w:rPr>
                <w:b/>
                <w:bCs/>
              </w:rPr>
              <w:t xml:space="preserve">0.372</w:t>
            </w:r>
          </w:p>
        </w:tc>
      </w:tr>
      <w:tr>
        <w:tc>
          <w:tcPr/>
          <w:p>
            <w:pPr>
              <w:pStyle w:val="Compact"/>
            </w:pPr>
            <w:r>
              <w:t xml:space="preserve">Thermal expansion</w:t>
            </w:r>
          </w:p>
        </w:tc>
        <w:tc>
          <w:tcPr/>
          <w:p>
            <w:pPr>
              <w:pStyle w:val="Compact"/>
            </w:pPr>
            <w:r>
              <w:t xml:space="preserve">1.150</w:t>
            </w:r>
          </w:p>
        </w:tc>
        <w:tc>
          <w:tcPr/>
          <w:p>
            <w:pPr>
              <w:pStyle w:val="Compact"/>
            </w:pPr>
            <w:r>
              <w:t xml:space="preserve">1.137</w:t>
            </w:r>
          </w:p>
        </w:tc>
        <w:tc>
          <w:tcPr/>
          <w:p>
            <w:pPr>
              <w:pStyle w:val="Compact"/>
            </w:pPr>
            <w:r>
              <w:t xml:space="preserve">1.462</w:t>
            </w:r>
          </w:p>
        </w:tc>
        <w:tc>
          <w:tcPr/>
          <w:p>
            <w:pPr>
              <w:pStyle w:val="Compact"/>
            </w:pPr>
            <w:r>
              <w:t xml:space="preserve">1.236</w:t>
            </w:r>
          </w:p>
        </w:tc>
      </w:tr>
      <w:tr>
        <w:tc>
          <w:tcPr/>
          <w:p>
            <w:pPr>
              <w:pStyle w:val="Compact"/>
            </w:pPr>
            <w:r>
              <w:rPr>
                <w:b/>
                <w:bCs/>
              </w:rPr>
              <w:t xml:space="preserve">Total</w:t>
            </w:r>
          </w:p>
        </w:tc>
        <w:tc>
          <w:tcPr/>
          <w:p>
            <w:pPr>
              <w:pStyle w:val="Compact"/>
            </w:pPr>
            <w:r>
              <w:rPr>
                <w:b/>
                <w:bCs/>
              </w:rPr>
              <w:t xml:space="preserve">0.411</w:t>
            </w:r>
          </w:p>
        </w:tc>
        <w:tc>
          <w:tcPr/>
          <w:p>
            <w:pPr>
              <w:pStyle w:val="Compact"/>
            </w:pPr>
            <w:r>
              <w:rPr>
                <w:b/>
                <w:bCs/>
              </w:rPr>
              <w:t xml:space="preserve">0.277</w:t>
            </w:r>
          </w:p>
        </w:tc>
        <w:tc>
          <w:tcPr/>
          <w:p>
            <w:pPr>
              <w:pStyle w:val="Compact"/>
            </w:pPr>
            <w:r>
              <w:t xml:space="preserve">1.128</w:t>
            </w:r>
          </w:p>
        </w:tc>
        <w:tc>
          <w:tcPr/>
          <w:p>
            <w:pPr>
              <w:pStyle w:val="Compact"/>
            </w:pPr>
            <w:r>
              <w:rPr>
                <w:b/>
                <w:bCs/>
              </w:rPr>
              <w:t xml:space="preserve">0.373</w:t>
            </w:r>
          </w:p>
        </w:tc>
      </w:tr>
    </w:tbl>
    <w:p>
      <w:pPr>
        <w:pStyle w:val="BodyText"/>
      </w:pPr>
      <w:r>
        <w:rPr>
          <w:i/>
          <w:iCs/>
        </w:rPr>
        <w:t xml:space="preserve">Thermal expansion in both models is driven by FaIR's full-depth ocean heat against a 0–2000 m target, so this row measures Ladrillo's fit relative to BRICK 2.0, not absolute accuracy — see the depth-scope discussion below.</w:t>
      </w:r>
    </w:p>
    <w:p>
      <w:pPr>
        <w:pStyle w:val="BodyText"/>
      </w:pPr>
      <w:r>
        <w:t xml:space="preserve">Ladrillo is closer to the observations than BRICK 2.0 on every ice component particularly in early eras. Cumulative total sea level rise, 1920–2024: observed +19.45 cm, Ladrillo +18.83, BRICK 2.0 +22.09 — Ladrillo undershoots by 0.6 cm, BRICK overshoots by 2.6.</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and the cell is still a FAIL even at that bound. A depth-resolved coefficient was tested and failed, though that may reflect observational uncertainty — Cheng and IGCC disagree by ~50% on 1950–1993 ocean heat gain.</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009269"/>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009269"/>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Its Antarctic band is wider than other models, while Greenland, glaciers and thermal expansion are all narrower there.</w:t>
      </w:r>
    </w:p>
    <w:p>
      <w:pPr>
        <w:pStyle w:val="BodyText"/>
      </w:pPr>
      <w:r>
        <w:rPr>
          <w:b/>
          <w:bCs/>
        </w:rPr>
        <w:t xml:space="preserve">Peak-and-decline scenarios.</w:t>
      </w:r>
      <w:r>
        <w:t xml:space="preserve"> </w:t>
      </w:r>
      <w:r>
        <w:t xml:space="preserve">The glacier change is evident here because it allows regrowth, though that regrowth is modest relative to total SLR changes (about 2.2 cm in 2300).</w:t>
      </w:r>
    </w:p>
    <w:p>
      <w:pPr>
        <w:pStyle w:val="BodyText"/>
      </w:pPr>
      <w:r>
        <w:rPr>
          <w:b/>
          <w:bCs/>
        </w:rPr>
        <w:t xml:space="preserve">MAGICC regrows substantially more than Ladrillo, and about ¾ of that is model structure and ¼ the climate module.</w:t>
      </w:r>
      <w:r>
        <w:t xml:space="preserve"> </w:t>
      </w:r>
      <w:r>
        <w:t xml:space="preserve">Ladrillo’s equilibrium regrowth is similar to MAGICC’s, but its rate of regrowth is slower because the SLOWP and R19 regions have long timescales.</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2026-09-03T15:26:14Z</dcterms:created>
  <dcterms:modified xsi:type="dcterms:W3CDTF">2026-09-03T15:26:14Z</dcterms:modified>
</cp:coreProperties>
</file>

<file path=docProps/custom.xml><?xml version="1.0" encoding="utf-8"?>
<Properties xmlns="http://schemas.openxmlformats.org/officeDocument/2006/custom-properties" xmlns:vt="http://schemas.openxmlformats.org/officeDocument/2006/docPropsVTypes"/>
</file>