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Both arms are also driven by the same ssp245harm forcing, so a Ladrillo-minus-BRICK reading is a module difference.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 and fine width differences carry the coarser arm's Monte-Carlo noise. On glaciers, Ladrillo and MAGICC-SLR share the Nauels 2017 transient, so that panel compares reservoir count, driver and posterior within one formulation family rather than two independent methods; BRICK 2.0 and FACTS are independent of us there, and at Greenland all four formulations differ.</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205884"/>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205884"/>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2026-09-10T21:06:04Z</dcterms:created>
  <dcterms:modified xsi:type="dcterms:W3CDTF">2026-09-10T21:06:04Z</dcterms:modified>
</cp:coreProperties>
</file>

<file path=docProps/custom.xml><?xml version="1.0" encoding="utf-8"?>
<Properties xmlns="http://schemas.openxmlformats.org/officeDocument/2006/custom-properties" xmlns:vt="http://schemas.openxmlformats.org/officeDocument/2006/docPropsVTypes"/>
</file>