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own temperature — which warmed about 1.2 °C during 1920–45 against 0.2 °C globally, then cooled through 1990 while the globe warmed — and relaxes when that regional warming reversed, while the slow discharge channel carries the long-term trend.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Both arms are also driven by the same ssp245harm forcing, so a Ladrillo-minus-BRICK reading is a module difference.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 and fine width differences carry the coarser arm's Monte-Carlo noise. On glaciers, Ladrillo and MAGICC-SLR share the Nauels 2017 transient, so that panel compares reservoir count, driver and posterior within one formulation family rather than two independent methods; BRICK 2.0 and FACTS are independent of us there, and at Greenland all four formulations differ.</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205884"/>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205884"/>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2026-09-11T17:00:50Z</dcterms:created>
  <dcterms:modified xsi:type="dcterms:W3CDTF">2026-09-11T17:00:50Z</dcterms:modified>
</cp:coreProperties>
</file>

<file path=docProps/custom.xml><?xml version="1.0" encoding="utf-8"?>
<Properties xmlns="http://schemas.openxmlformats.org/officeDocument/2006/custom-properties" xmlns:vt="http://schemas.openxmlformats.org/officeDocument/2006/docPropsVTypes"/>
</file>