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 Ladrillo is also less independent of MAGICC on glaciers than BRICK 2.0 is, having adopted the Nauels 2017 transient.</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Ladrillo replaces that with a two-channel, two-basin sheet.</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w:t>
            </w:r>
            <w:r>
              <w:t xml:space="preserve"> </w:t>
            </w:r>
            <w:r>
              <w:rPr>
                <w:b/>
                <w:bCs/>
              </w:rPr>
              <w:t xml:space="preserve">Real data run 2019–2023</w:t>
            </w:r>
            <w:r>
              <w:t xml:space="preserve">; 2024 is held flat from 2023 (GlaMBIE, which is subtracted, ends 2023) and 2025–2026 are blank. The closure σ</w:t>
            </w:r>
            <w:r>
              <w:t xml:space="preserve"> </w:t>
            </w:r>
            <w:r>
              <w:rPr>
                <w:i/>
                <w:iCs/>
              </w:rPr>
              <w:t xml:space="preserve">is</w:t>
            </w:r>
            <w:r>
              <w:t xml:space="preserve"> </w:t>
            </w:r>
            <w:r>
              <w:t xml:space="preserve">trend-extended to the file horizon — the data are not.</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w:t>
            </w:r>
            <w:r>
              <w:t xml:space="preserve"> </w:t>
            </w:r>
            <w:r>
              <w:rPr>
                <w:b/>
                <w:bCs/>
              </w:rPr>
              <w:t xml:space="preserve">No DOI or dataset version is recorded</w:t>
            </w:r>
            <w:r>
              <w:t xml:space="preserve"> </w:t>
            </w:r>
            <w:r>
              <w:t xml:space="preserve">— the values enter as typed constants, not a data file</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w:t>
            </w:r>
            <w:r>
              <w:t xml:space="preserve"> </w:t>
            </w:r>
            <w:r>
              <w:rPr>
                <w:b/>
                <w:bCs/>
              </w:rPr>
              <w:t xml:space="preserve">no DOI or archive version recorded</w:t>
            </w:r>
            <w:r>
              <w:t xml:space="preserve">;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Streamed from the live Pangeo/Google-Cloud CMIP6 zarr catalogue.</w:t>
            </w:r>
            <w:r>
              <w:t xml:space="preserve"> </w:t>
            </w:r>
            <w:r>
              <w:rPr>
                <w:b/>
                <w:bCs/>
              </w:rPr>
              <w:t xml:space="preserve">No catalogue snapshot date and no per-model ESGF dataset versions are recorded</w:t>
            </w:r>
            <w:r>
              <w:t xml:space="preserve">; what is pinned is the member ID per model, a fixed 40-model panel so a drifted catalogue cannot swap the ensemble, and a git commit hash in the derived priors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w:t>
            </w:r>
            <w:r>
              <w:t xml:space="preserve"> </w:t>
            </w:r>
            <w:r>
              <w:rPr>
                <w:b/>
                <w:bCs/>
              </w:rPr>
              <w:t xml:space="preserve">independent</w:t>
            </w:r>
            <w:r>
              <w:t xml:space="preserve"> </w:t>
            </w:r>
            <w:r>
              <w:t xml:space="preserve">consensus check on the total. It is</w:t>
            </w:r>
            <w:r>
              <w:t xml:space="preserve"> </w:t>
            </w:r>
            <w:r>
              <w:rPr>
                <w:i/>
                <w:iCs/>
              </w:rPr>
              <w:t xml:space="preserve">not</w:t>
            </w:r>
            <w:r>
              <w:t xml:space="preserve"> </w:t>
            </w:r>
            <w:r>
              <w:t xml:space="preserve">fitted; the fitted total is Dangendorf 2024.</w:t>
            </w:r>
          </w:p>
        </w:tc>
      </w:tr>
    </w:tbl>
    <w:p>
      <w:pPr>
        <w:pStyle w:val="BodyText"/>
      </w:pPr>
      <w:r>
        <w:t xml:space="preserve">Where a cell says a version is not recorded, that is the actual state of the provenance, not an omission from this table: those sources enter the calibration as typed constants or as a live catalogue query, and no version string exists in the repository to cite.</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 cm baselined to 1995–2005. Both Ladrillo and BRICK 2.0 are integrated from 1850 and plotted from 1900. The total panel also carries IGCC 2025-indicators GMSL (tag</w:t>
      </w:r>
      <w:r>
        <w:t xml:space="preserve"> </w:t>
      </w:r>
      <w:r>
        <w:rPr>
          <w:rStyle w:val="VerbatimChar"/>
        </w:rPr>
        <w:t xml:space="preserve">v2026.06.02</w:t>
      </w:r>
      <w:r>
        <w:t xml:space="preserve">) as an independent consensus check; it is not a calibration target. Land-water storage is observational — neither model predicts it, so that panel shows the observed series alone, and both totals carry it.</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0.555</w:t>
            </w:r>
          </w:p>
        </w:tc>
        <w:tc>
          <w:tcPr/>
          <w:p>
            <w:pPr>
              <w:pStyle w:val="Compact"/>
            </w:pPr>
            <w:r>
              <w:rPr>
                <w:b/>
                <w:bCs/>
              </w:rPr>
              <w:t xml:space="preserve">0.018</w:t>
            </w:r>
          </w:p>
        </w:tc>
      </w:tr>
      <w:tr>
        <w:tc>
          <w:tcPr/>
          <w:p>
            <w:pPr>
              <w:pStyle w:val="Compact"/>
            </w:pPr>
            <w:r>
              <w:t xml:space="preserve">Greenland</w:t>
            </w:r>
          </w:p>
        </w:tc>
        <w:tc>
          <w:tcPr/>
          <w:p>
            <w:pPr>
              <w:pStyle w:val="Compact"/>
            </w:pPr>
            <w:r>
              <w:rPr>
                <w:b/>
                <w:bCs/>
              </w:rPr>
              <w:t xml:space="preserve">0.114</w:t>
            </w:r>
          </w:p>
        </w:tc>
        <w:tc>
          <w:tcPr/>
          <w:p>
            <w:pPr>
              <w:pStyle w:val="Compact"/>
            </w:pPr>
            <w:r>
              <w:rPr>
                <w:b/>
                <w:bCs/>
              </w:rPr>
              <w:t xml:space="preserve">0.103</w:t>
            </w:r>
          </w:p>
        </w:tc>
        <w:tc>
          <w:tcPr/>
          <w:p>
            <w:pPr>
              <w:pStyle w:val="Compact"/>
            </w:pPr>
            <w:r>
              <w:rPr>
                <w:b/>
                <w:bCs/>
              </w:rPr>
              <w:t xml:space="preserve">0.054</w:t>
            </w:r>
          </w:p>
        </w:tc>
        <w:tc>
          <w:tcPr/>
          <w:p>
            <w:pPr>
              <w:pStyle w:val="Compact"/>
            </w:pPr>
            <w:r>
              <w:rPr>
                <w:b/>
                <w:bCs/>
              </w:rPr>
              <w:t xml:space="preserve">0.272</w:t>
            </w:r>
          </w:p>
        </w:tc>
        <w:tc>
          <w:tcPr/>
          <w:p>
            <w:pPr>
              <w:pStyle w:val="Compact"/>
            </w:pPr>
            <w:r>
              <w:rPr>
                <w:b/>
                <w:bCs/>
              </w:rPr>
              <w:t xml:space="preserve">0.086</w:t>
            </w:r>
          </w:p>
        </w:tc>
      </w:tr>
      <w:tr>
        <w:tc>
          <w:tcPr/>
          <w:p>
            <w:pPr>
              <w:pStyle w:val="Compact"/>
            </w:pPr>
            <w:r>
              <w:t xml:space="preserve">Glaciers</w:t>
            </w:r>
          </w:p>
        </w:tc>
        <w:tc>
          <w:tcPr/>
          <w:p>
            <w:pPr>
              <w:pStyle w:val="Compact"/>
            </w:pPr>
            <w:r>
              <w:rPr>
                <w:b/>
                <w:bCs/>
              </w:rPr>
              <w:t xml:space="preserve">0.421</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0.408</w:t>
            </w:r>
          </w:p>
        </w:tc>
      </w:tr>
      <w:tr>
        <w:tc>
          <w:tcPr/>
          <w:p>
            <w:pPr>
              <w:pStyle w:val="Compact"/>
            </w:pPr>
            <w:r>
              <w:t xml:space="preserve">Thermal expansion</w:t>
            </w:r>
          </w:p>
        </w:tc>
        <w:tc>
          <w:tcPr/>
          <w:p>
            <w:pPr>
              <w:pStyle w:val="Compact"/>
            </w:pPr>
            <w:r>
              <w:t xml:space="preserve">1.653</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1.327</w:t>
            </w:r>
          </w:p>
        </w:tc>
      </w:tr>
      <w:tr>
        <w:tc>
          <w:tcPr/>
          <w:p>
            <w:pPr>
              <w:pStyle w:val="Compact"/>
            </w:pPr>
            <w:r>
              <w:rPr>
                <w:b/>
                <w:bCs/>
              </w:rPr>
              <w:t xml:space="preserve">Total</w:t>
            </w:r>
          </w:p>
        </w:tc>
        <w:tc>
          <w:tcPr/>
          <w:p>
            <w:pPr>
              <w:pStyle w:val="Compact"/>
            </w:pPr>
            <w:r>
              <w:t xml:space="preserve">4.560</w:t>
            </w:r>
          </w:p>
        </w:tc>
        <w:tc>
          <w:tcPr/>
          <w:p>
            <w:pPr>
              <w:pStyle w:val="Compact"/>
            </w:pPr>
            <w:r>
              <w:t xml:space="preserve">1.228</w:t>
            </w:r>
          </w:p>
        </w:tc>
        <w:tc>
          <w:tcPr/>
          <w:p>
            <w:pPr>
              <w:pStyle w:val="Compact"/>
            </w:pPr>
            <w:r>
              <w:rPr>
                <w:b/>
                <w:bCs/>
              </w:rPr>
              <w:t xml:space="preserve">0.518</w:t>
            </w:r>
          </w:p>
        </w:tc>
        <w:tc>
          <w:tcPr/>
          <w:p>
            <w:pPr>
              <w:pStyle w:val="Compact"/>
            </w:pPr>
            <w:r>
              <w:rPr>
                <w:b/>
                <w:bCs/>
              </w:rPr>
              <w:t xml:space="preserve">0.752</w:t>
            </w:r>
          </w:p>
        </w:tc>
        <w:tc>
          <w:tcPr/>
          <w:p>
            <w:pPr>
              <w:pStyle w:val="Compact"/>
            </w:pPr>
            <w:r>
              <w:t xml:space="preserve">1.124</w:t>
            </w:r>
          </w:p>
        </w:tc>
      </w:tr>
    </w:tbl>
    <w:p>
      <w:pPr>
        <w:pStyle w:val="BodyText"/>
      </w:pPr>
      <w:r>
        <w:t xml:space="preserve">Both arms' totals carry the observed land-water-storage series. Neither model predicts LWS: Ladrillo takes the observed series, and BRICK 2.0's LWS module is inactive over the historical period because its posterior was fitted to a GMSL target with LWS removed — so its components represent sea level excluding LWS, and the observed series is added to put both totals on the same basis as the LWS-inclusive observational total. Separately,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+22.00 — Ladrillo undershoots by 1.2 cm, BRICK overshoots by 1.0. Over the shorter, more recent window — the level at 2024 relative to the 1995–2005 baseline — both models still run high, but only slightly: observed +7.81 cm, Ladrillo +8.16 (+0.36) and BRICK 2.0 +8.45 (+0.65),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2026-09-10T20:03:45Z</dcterms:created>
  <dcterms:modified xsi:type="dcterms:W3CDTF">2026-09-10T20:03:45Z</dcterms:modified>
</cp:coreProperties>
</file>

<file path=docProps/custom.xml><?xml version="1.0" encoding="utf-8"?>
<Properties xmlns="http://schemas.openxmlformats.org/officeDocument/2006/custom-properties" xmlns:vt="http://schemas.openxmlformats.org/officeDocument/2006/docPropsVTypes"/>
</file>