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models which both runs 1900-2300 and matches observed total sea level. 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one place that observations cannot inform, namely a Greenland commitment above a threshold, informed by SICOPOLIS. Ladrillo also extended some of BRICK’s observational constraints (an Antarctic likelihood from 1900 rather than IMBIE's 1992–2017; Dangendorf, GlaMBIE, GRACE and Mouginot added), updated the Antarctic global-to-local amplification from the paleo-equilibrium ratio to a CMIP6 based one, added global-to-local amplification for Greenland and the glacier regions,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and the Antarctic amplification prior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Both hindcast arms are reproducible: every random seed is fixed and is recorded inside the output file read by each figure, so any number in this document can be regenerated precisely.</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warmer than its preindustrial equilibrium.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Ice volume at 2000: 9.4 ± 2.4 cm SLE. Smaller, faster-responding bodies with a smaller amplification (prior 1.45). This block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which is another reason to separate this region.</w:t>
      </w:r>
    </w:p>
    <w:p>
      <w:pPr>
        <w:pStyle w:val="BodyText"/>
      </w:pPr>
      <w:r>
        <w:t xml:space="preserve">These three blocks cover 18 of the 19 RGI regions; RGI 05, the Greenland Periphery, is excluded, as it is not included in Frederikse's glacier estimate but it is included in the Greenland ice-sheet module.</w:t>
      </w:r>
    </w:p>
    <w:p>
      <w:pPr>
        <w:pStyle w:val="BodyText"/>
      </w:pPr>
      <w:r>
        <w:rPr>
          <w:b/>
          <w:bCs/>
        </w:rPr>
        <w:t xml:space="preserve">Compared with other emulators.</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pPr>
        <w:pStyle w:val="BodyText"/>
      </w:pPr>
      <w:r>
        <w:rPr>
          <w:b/>
          <w:bCs/>
        </w:rPr>
        <w:t xml:space="preserve">Regrowth potential.</w:t>
      </w:r>
      <w:r>
        <w:t xml:space="preserve"> </w:t>
      </w:r>
      <w:r>
        <w:t xml:space="preserve">Ladrillo does have the potential to regrow glacier ice after cooling: MAGICC and SURFER are the only two sea level emulators from SLEIP that can do the same.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(SMB / dynamic discharge).</w:t>
      </w:r>
      <w:r>
        <w:t xml:space="preserve"> </w:t>
      </w:r>
      <w:r>
        <w:t xml:space="preserve">Greenland melt occurs through surface-mass-balance response (50 year relaxation and present-day temperatures) and outlet/dynamic discharge (170 year relaxation). Two channels allow for that partition.</w:t>
      </w:r>
    </w:p>
    <w:p>
      <w:pPr>
        <w:pStyle w:val="BodyText"/>
      </w:pPr>
      <w:r>
        <w:rPr>
          <w:b/>
          <w:bCs/>
        </w:rPr>
        <w:t xml:space="preserve">Two basins.</w:t>
      </w:r>
      <w:r>
        <w:t xml:space="preserve"> </w:t>
      </w:r>
      <w:r>
        <w:t xml:space="preserve">The sheet is split into an active basin (SW+CW+CE+SE+NW) and a high basin (NO+NE), each carrying its own SMB/discharge channel pair, with sector shares scored against Mouginot.</w:t>
      </w:r>
    </w:p>
    <w:p>
      <w:pPr>
        <w:pStyle w:val="BodyText"/>
      </w:pPr>
      <w:r>
        <w:rPr>
          <w:b/>
          <w:bCs/>
        </w:rPr>
        <w:t xml:space="preserve">Amplification.</w:t>
      </w:r>
      <w:r>
        <w:t xml:space="preserve"> </w:t>
      </w:r>
      <w:r>
        <w:t xml:space="preserve">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raise Greenland by an additional 1–9 cm depending on scenario and horizon.</w:t>
      </w:r>
    </w:p>
    <w:p>
      <w:pPr>
        <w:pStyle w:val="BodyText"/>
      </w:pPr>
      <w:r>
        <w:rPr>
          <w:b/>
          <w:bCs/>
        </w:rPr>
        <w:t xml:space="preserve">Above-threshold discharge channel.</w:t>
      </w:r>
      <w:r>
        <w:t xml:space="preserve"> </w:t>
      </w:r>
      <w:r>
        <w:t xml:space="preserve">A third discharge channel on the high basin, enabling another melt mechanism above a threshold temperature: V = 564 cm, τ = 800 yr, onset 4.69 K, two stages, whole-sheet. It has zero effect below the threshold.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 Without it, Greenland's SSP5-8.5 to SSP2-4.5 ratio at 2300 is 2.7, against 7.9–31.9 across the process-model literature.</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 MAGICC similarly splits Greenland into SMB and SID and parameterises against SICOPOLIS.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08"/>
        <w:gridCol w:w="4039"/>
        <w:gridCol w:w="2772"/>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 on the Antarctic amplification; the warming-dependence and prior width of the Greenland amplification (its level is observed). The glacier-region amplifications are fitted to observations; the CMIP6 glacier panel served as a check only.</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adds 17 cm to the SSP2-4.5 total at 2100 and 42 cm at 2300 (9 and 19 cm on SSP5-8.5).</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panel (e) shows the observed series alone and both totals include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pPr>
        <w:pStyle w:val="BodyText"/>
      </w:pPr>
      <w:r>
        <w:rPr>
          <w:b/>
          <w:bCs/>
        </w:rPr>
        <w:t xml:space="preserve">For thermal expansion Ladrillo overshoots, and the cause is FaIR’s ocean heat.</w:t>
      </w:r>
      <w:r>
        <w:t xml:space="preserve"> </w:t>
      </w:r>
      <w:r>
        <w:t xml:space="preserve">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uptake exceeding IGCC's full-depth estimate. Driving Ladrillo with observed 0–2000 m ocean heat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We report comparisons to both the van Vuuren scenarios and the SSPs. All Ladrillo bands are the joint (posterior × FaIR-forcing) arm, width-comparable to MAGICC and FACTS; BRICK 2.0's joint band uses the same cubes, splice pivot and pair seed. Bars are 17–83% (thick) and 5–95% (thin). All four sources carry climate uncertainty — Ladrillo and BRICK 2.0 from the 841 FaIR configs; FACTS from 200 of the same configs, injected as its climate file in place of its internal AR6-calibrated FaIR 1.6 ensemble, plus its modules' own sampling; MAGICC-SLR from its 600-member AR6 drawnset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scenario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scenarios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scenario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scenario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scenarios, joint band, Ladrillo relative to BRICK2.0.</w:t>
      </w:r>
    </w:p>
    <w:p>
      <w:pPr>
        <w:pStyle w:val="BodyText"/>
      </w:pPr>
      <w:r>
        <w:drawing>
          <wp:inline>
            <wp:extent cx="5334000" cy="5090832"/>
            <wp:effectExtent b="0" l="0" r="0" t="0"/>
            <wp:docPr descr="Glacier response on the declining scenario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090832"/>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scenarios: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15–20 cm mainly due to thermal expansion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2026-09-14T13:03:07Z</dcterms:created>
  <dcterms:modified xsi:type="dcterms:W3CDTF">2026-09-14T13:03:07Z</dcterms:modified>
</cp:coreProperties>
</file>

<file path=docProps/custom.xml><?xml version="1.0" encoding="utf-8"?>
<Properties xmlns="http://schemas.openxmlformats.org/officeDocument/2006/custom-properties" xmlns:vt="http://schemas.openxmlformats.org/officeDocument/2006/docPropsVTypes"/>
</file>