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20th century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glacier committed-loss curves and response-time anchors (GlacierMIP3).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less BRICK's own 4.0 cm of melt to 2000.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SLOWG — RGI regions 03, 09, 07, 06</w:t>
      </w:r>
      <w:r>
        <w:t xml:space="preserve"> </w:t>
      </w:r>
      <w:r>
        <w:t xml:space="preserve">(Arctic Canada North, Russian Arctic, Svalbard, Iceland;</w:t>
      </w:r>
      <w:r>
        <w:t xml:space="preserve"> </w:t>
      </w:r>
      <w:r>
        <w:rPr>
          <w:rStyle w:val="VerbatimChar"/>
        </w:rPr>
        <w:t xml:space="preserve">SLOWP</w:t>
      </w:r>
      <w:r>
        <w:t xml:space="preserve"> </w:t>
      </w:r>
      <w:r>
        <w:t xml:space="preserve">in the code and output files).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FASTG — 13 other RGI regions</w:t>
      </w:r>
      <w:r>
        <w:t xml:space="preserve"> </w:t>
      </w:r>
      <w:r>
        <w:t xml:space="preserve">(</w:t>
      </w:r>
      <w:r>
        <w:rPr>
          <w:rStyle w:val="VerbatimChar"/>
        </w:rPr>
        <w:t xml:space="preserve">FAST</w:t>
      </w:r>
      <w:r>
        <w:t xml:space="preserve"> </w:t>
      </w:r>
      <w:r>
        <w:t xml:space="preserve">in the code and output files). 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(about a 50-year relaxation timescale at present-day temperatures) and outlet/dynamic discharge (about a 170-year relaxation at present-day temperatures).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 (using a fixed-driver).</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930"/>
        <w:gridCol w:w="3168"/>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it absorbs the part of the FaIR ocean-heat discrepancy described later that a rescaling of the driver cannot.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5"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 warmer than the van Vuuren High scenario at every horizon (ensemble-mean 4.3 vs 3.3 K at 2100, 7.5 vs 6.7 K at 2300) it serves as the high bound for future climate.</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3" w:name="X27c46f1d5c2d31159d02dda307a152000721bb1"/>
    <w:p>
      <w:pPr>
        <w:pStyle w:val="Heading3"/>
      </w:pPr>
      <w:r>
        <w:t xml:space="preserve">Ladrillo's glaciers against emulandice on the same climate</w:t>
      </w:r>
    </w:p>
    <w:p>
      <w:pPr>
        <w:pStyle w:val="FirstParagraph"/>
      </w:pPr>
      <w:r>
        <w:t xml:space="preserve">FACTS's emulandice glacier module (Gaussian-process emulators of the GlacierMIP2 transient runs, one per RGI region, GSAT-driven, 2015–2100) was run on the same 200 FaIR configurations as Ladrillo, so the two can be compared sample by sample, with its regions summed to Ladrillo's blocks and RGI 05 excluded (FIG 12). At 2100 Ladrillo's glacier melt since 2005 is 13% below emulandice on every scenario (SSP2-4.5: 9.9 vs 11.3 cm); the deficit is confined to SLOWG (0.74×) and RGI 19 (0.45×) while FASTG runs 1.13×; the two agree at 2020 and diverge thereafter; and every paired 5–95% range spans zero. Replacing Ladrillo's fitted amplifications with the CMIP6 regional ratios does not close the gap (SLOWG falls to 0.60×, RGI 19 rises only to 0.61×), so it lies in the block dynamics rather than the driver. Aggregation is not the cause either: GlacierMIP3's per-region response times put the single-timescale bias at 8% for SLOWG and zero for RGI 19, which is a single region. What remains is the source of the timescales (GlacierMIP3's equilibrium anchors against GlacierMIP2's transients) and the inventory basis (emulandice reports the GlacierMIP2 models' own volumes), which have not been separated.</w:t>
      </w:r>
    </w:p>
    <w:p>
      <w:pPr>
        <w:pStyle w:val="BodyText"/>
      </w:pPr>
      <w:r>
        <w:drawing>
          <wp:inline>
            <wp:extent cx="5334000" cy="3437466"/>
            <wp:effectExtent b="0" l="0" r="0" t="0"/>
            <wp:docPr descr="Ladrillo glacier blocks vs emulandice on the same 200 FaIR configs" title="" id="51" name="Picture"/>
            <a:graphic>
              <a:graphicData uri="http://schemas.openxmlformats.org/drawingml/2006/picture">
                <pic:pic>
                  <pic:nvPicPr>
                    <pic:cNvPr descr="figures/gsic_blocks_vs_emulandice_L24.png" id="52" name="Picture"/>
                    <pic:cNvPicPr>
                      <a:picLocks noChangeArrowheads="1" noChangeAspect="1"/>
                    </pic:cNvPicPr>
                  </pic:nvPicPr>
                  <pic:blipFill>
                    <a:blip r:embed="rId50"/>
                    <a:stretch>
                      <a:fillRect/>
                    </a:stretch>
                  </pic:blipFill>
                  <pic:spPr bwMode="auto">
                    <a:xfrm>
                      <a:off x="0" y="0"/>
                      <a:ext cx="5334000" cy="3437466"/>
                    </a:xfrm>
                    <a:prstGeom prst="rect">
                      <a:avLst/>
                    </a:prstGeom>
                    <a:noFill/>
                    <a:ln w="9525">
                      <a:noFill/>
                      <a:headEnd/>
                      <a:tailEnd/>
                    </a:ln>
                  </pic:spPr>
                </pic:pic>
              </a:graphicData>
            </a:graphic>
          </wp:inline>
        </w:drawing>
      </w:r>
    </w:p>
    <w:p>
      <w:pPr>
        <w:pStyle w:val="BodyText"/>
      </w:pPr>
      <w:r>
        <w:rPr>
          <w:b/>
          <w:bCs/>
        </w:rPr>
        <w:t xml:space="preserve">FIG 12.</w:t>
      </w:r>
      <w:r>
        <w:t xml:space="preserve"> </w:t>
      </w:r>
      <w:r>
        <w:t xml:space="preserve">Glacier melt since 2005 by block, Ladrillo L24 (posterior draw k on shared configuration k) against FACTS emulandice on the same 200 FaIR configurations: median and 5–95% over the matched samples, 2020–2100, on the three SSPs and the two van Vuuren extremes. emulandice's per-region outputs are summed to Ladrillo's blocks; RGI 05 is dropped from emulandice because Ladrillo carries it in the Greenland ice sheet.</w:t>
      </w:r>
    </w:p>
    <w:bookmarkEnd w:id="53"/>
    <w:bookmarkStart w:id="5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SLOWG and RGI 19 regions have median response times of ~270 yr and ~470 yr, the latter very poorly constrained at 80–3200 yr across the posterior; all three blocks respond about three times faster at 3 K) this rate effect is compounded by an equilibrium effect.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50" Type="http://schemas.openxmlformats.org/officeDocument/2006/relationships/image" Target="media/rId50.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2026-09-14T17:21:33Z</dcterms:created>
  <dcterms:modified xsi:type="dcterms:W3CDTF">2026-09-14T17:21:33Z</dcterms:modified>
</cp:coreProperties>
</file>

<file path=docProps/custom.xml><?xml version="1.0" encoding="utf-8"?>
<Properties xmlns="http://schemas.openxmlformats.org/officeDocument/2006/custom-properties" xmlns:vt="http://schemas.openxmlformats.org/officeDocument/2006/docPropsVTypes"/>
</file>