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 The two models also start from different total glacier inventories. BRICK 2.0's calibrated initial volume centres on 0.42 m SLE (5–95% 0.32–0.52), inherited from the Wigley and Raper (2005) assumed maximum of 0.41 m; Ladrillo constrains the remaining stock at 2000 to 0.290 ± 0.060 m SLE on its target scope (Farinotti 2019 excluding RGI regions 5 and 19, plus 0.069 for region 19), with Millan 2022 agreeing to 1% on the matched scope. The full-RGI Farinotti value is 0.324 ± 0.084 m.</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320"/>
        <w:gridCol w:w="4092"/>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rPr>
                <w:b/>
                <w:bCs/>
              </w:rPr>
              <w:t xml:space="preserve">CMIP6 regional amplification</w:t>
            </w:r>
            <w:r>
              <w:t xml:space="preserve"> </w:t>
            </w:r>
            <w:r>
              <w:t xml:space="preserve">(34–41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t xml:space="preserve">Two kinds of source carry no dataset version. Rignot 2019 and the Farinotti/Hock inventory are values taken from published papers rather than from versioned data products, so the citation is the version. The CMIP6 panel and the NOAA thermosteric series are live products with no release string; for those the download date is the version and is given.</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that panel compares reservoir count, driver and posterior within one formulation family rather than two independent methods; BRICK 2.0 and FACTS are independent there. At Greenland all four formulations differ. At Antarctica and thermal expansion the lineage runs the other way: Ladrillo and BRICK 2.0 share a formulation — DAIS for the ice sheet, and expansion proportional to ocean heat — and differ in calibration, so agreement between those two is corroboration rather than independent evidence,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205884"/>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205884"/>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where temperature declines, because the three reservoirs equilibrate to the prevailing temperature rather than melting toward a fixed ceiling.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2300. MAGICC-SLR and BRICK 2.0 extend to 2300; the FACTS SSP runs used here stop at 2150.</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2026-09-11T18:11:29Z</dcterms:created>
  <dcterms:modified xsi:type="dcterms:W3CDTF">2026-09-11T18:11:29Z</dcterms:modified>
</cp:coreProperties>
</file>

<file path=docProps/custom.xml><?xml version="1.0" encoding="utf-8"?>
<Properties xmlns="http://schemas.openxmlformats.org/officeDocument/2006/custom-properties" xmlns:vt="http://schemas.openxmlformats.org/officeDocument/2006/docPropsVTypes"/>
</file>