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60F54" w14:textId="1659DA4E" w:rsidR="00DD3F40" w:rsidRDefault="002805FA">
      <w:proofErr w:type="spellStart"/>
      <w:r>
        <w:t>Ladrillo</w:t>
      </w:r>
      <w:proofErr w:type="spellEnd"/>
      <w:r>
        <w:t xml:space="preserve"> comments, 9/11/26, 1:23 pm:</w:t>
      </w:r>
    </w:p>
    <w:p w14:paraId="3097BF47" w14:textId="7D4F5A46" w:rsidR="00D3419E" w:rsidRDefault="00D3419E">
      <w:r>
        <w:t>“</w:t>
      </w:r>
      <w:r>
        <w:t xml:space="preserve">MAGICC similarly splits Greenland into SMB and SID and </w:t>
      </w:r>
      <w:proofErr w:type="spellStart"/>
      <w:r>
        <w:t>parameterises</w:t>
      </w:r>
      <w:proofErr w:type="spellEnd"/>
      <w:r>
        <w:t xml:space="preserve"> against SICOPOLIS, but with 17 parameters between the two, of which 9 vary and each of those takes only 4 distinct values.</w:t>
      </w:r>
      <w:r>
        <w:t>” Can we say anything about whether MAGICC’s historical pattern successfully emulates observations, and what we can from the second basin relative to MAGICC’s structure?</w:t>
      </w:r>
    </w:p>
    <w:p w14:paraId="1CD0205D" w14:textId="56D8218F" w:rsidR="002805FA" w:rsidRDefault="002805FA">
      <w:r>
        <w:t>Table 1: “what it constrains” column should be wider. Generally, the contributions to line counts from multiple columns should be balanced, but in the current version of Table 1, it is dominated by that third column.</w:t>
      </w:r>
    </w:p>
    <w:p w14:paraId="7A66DF5F" w14:textId="337F677F" w:rsidR="00376147" w:rsidRDefault="00376147">
      <w:r>
        <w:t>“</w:t>
      </w:r>
      <w:proofErr w:type="gramStart"/>
      <w:r>
        <w:t>previous</w:t>
      </w:r>
      <w:proofErr w:type="gramEnd"/>
      <w:r>
        <w:t xml:space="preserve"> GMSL reconstruction.</w:t>
      </w:r>
      <w:r>
        <w:t>” Can we say “the previous Church &amp; White reconstruction” or whatever was used by BRICK?</w:t>
      </w:r>
    </w:p>
    <w:p w14:paraId="6FB00317" w14:textId="1D70A8C5" w:rsidR="002805FA" w:rsidRDefault="009F1AAE" w:rsidP="002805FA">
      <w:pPr>
        <w:pStyle w:val="BodyText"/>
      </w:pPr>
      <w:r>
        <w:t>“</w:t>
      </w:r>
      <w:r>
        <w:t xml:space="preserve">Land-water storage. </w:t>
      </w:r>
      <w:r>
        <w:rPr>
          <w:b/>
          <w:bCs/>
        </w:rPr>
        <w:t>Real data run 2019–2023</w:t>
      </w:r>
      <w:r>
        <w:t>; 2024 is held flat from 2023 (</w:t>
      </w:r>
      <w:proofErr w:type="spellStart"/>
      <w:r>
        <w:t>GlaMBIE</w:t>
      </w:r>
      <w:proofErr w:type="spellEnd"/>
      <w:r>
        <w:t xml:space="preserve">, which is subtracted, ends 2023) and 2025–2026 are blank. The closure σ </w:t>
      </w:r>
      <w:r>
        <w:rPr>
          <w:i/>
          <w:iCs/>
        </w:rPr>
        <w:t>is</w:t>
      </w:r>
      <w:r>
        <w:t xml:space="preserve"> trend-extended to the file horizon — the data are not.</w:t>
      </w:r>
      <w:r>
        <w:t>” Can we simplify? Maybe, “GRACE data run 2019-2023 and we then hold 2023 constant through 2026.” As, what does “the data are not” mean – do we assume that LWS contributions drop to zero in 2025? What do we assume post 2026?</w:t>
      </w:r>
    </w:p>
    <w:p w14:paraId="695C17CC" w14:textId="3693287C" w:rsidR="009F1AAE" w:rsidRDefault="0081377C" w:rsidP="002805FA">
      <w:pPr>
        <w:pStyle w:val="BodyText"/>
      </w:pPr>
      <w:r>
        <w:t>“</w:t>
      </w:r>
      <w:proofErr w:type="gramStart"/>
      <w:r>
        <w:t>neither</w:t>
      </w:r>
      <w:proofErr w:type="gramEnd"/>
      <w:r>
        <w:t xml:space="preserve"> of which the 20th-century transient identifies on its own.</w:t>
      </w:r>
      <w:r>
        <w:t>” Can we delete this?</w:t>
      </w:r>
    </w:p>
    <w:p w14:paraId="75BE46E7" w14:textId="77777777" w:rsidR="001C5582" w:rsidRDefault="001C5582" w:rsidP="001C5582">
      <w:pPr>
        <w:pStyle w:val="BodyText"/>
      </w:pPr>
      <w:r>
        <w:t>I find “Where a cell says a version is not recorded, that is the actual state of the provenance, not an omission from this table: those sources enter the calibration as typed constants or as a live catalogue query, and no version string exists in the repository to cite” a little confusing as written. Also, how many of these missing versions are because no versioning exists, and how many are because we just don’t have it recorded locally? And if some are the latter, can we fix those?</w:t>
      </w:r>
    </w:p>
    <w:p w14:paraId="110E3FD4" w14:textId="0441C2F9" w:rsidR="00500C26" w:rsidRDefault="00500C26" w:rsidP="00500C26">
      <w:pPr>
        <w:pStyle w:val="BodyText"/>
      </w:pPr>
      <w:r>
        <w:t>“</w:t>
      </w:r>
      <w:proofErr w:type="gramStart"/>
      <w:r>
        <w:t>so</w:t>
      </w:r>
      <w:proofErr w:type="gramEnd"/>
      <w:r>
        <w:t xml:space="preserve"> its last three years sit on scenario</w:t>
      </w:r>
      <w:r w:rsidRPr="00A82D17">
        <w:t xml:space="preserve"> </w:t>
      </w:r>
      <w:r>
        <w:t xml:space="preserve">rather than observed forcing”: awkward wording: maybe, “so its last three years are driven by the scenario”? Also, are we using observed forcing through 2023 to drive </w:t>
      </w:r>
      <w:proofErr w:type="spellStart"/>
      <w:r>
        <w:t>FaIR</w:t>
      </w:r>
      <w:proofErr w:type="spellEnd"/>
      <w:r>
        <w:t>, and not CMIP7 emissions?</w:t>
      </w:r>
      <w:r w:rsidR="00915E7B">
        <w:t xml:space="preserve"> </w:t>
      </w:r>
    </w:p>
    <w:p w14:paraId="28B2FDC5" w14:textId="0C11D19F" w:rsidR="001C5582" w:rsidRDefault="002B5BD2" w:rsidP="002B5BD2">
      <w:pPr>
        <w:pStyle w:val="FirstParagraph"/>
      </w:pPr>
      <w:r>
        <w:t>“</w:t>
      </w:r>
      <w:r>
        <w:t xml:space="preserve">On glaciers, </w:t>
      </w:r>
      <w:proofErr w:type="spellStart"/>
      <w:r>
        <w:t>Ladrillo</w:t>
      </w:r>
      <w:proofErr w:type="spellEnd"/>
      <w:r>
        <w:t xml:space="preserve"> and MAGICC-SLR share the </w:t>
      </w:r>
      <w:proofErr w:type="spellStart"/>
      <w:r>
        <w:t>Nauels</w:t>
      </w:r>
      <w:proofErr w:type="spellEnd"/>
      <w:r>
        <w:t xml:space="preserve"> 2017 transient, so that panel compares reservoir count, driver and posterior within one formulation family rather than two independent methods; BRICK 2.0 and FACTS are independent, and at Greenland all four formulations differ.</w:t>
      </w:r>
      <w:r>
        <w:t xml:space="preserve">” If we mention glacier and Greenland independence, we should also mention AIS and thermal expansion independence. </w:t>
      </w:r>
    </w:p>
    <w:p w14:paraId="1CACE521" w14:textId="33841642" w:rsidR="00FC5BF0" w:rsidRDefault="00FC5BF0" w:rsidP="00FC5BF0">
      <w:pPr>
        <w:pStyle w:val="BodyText"/>
      </w:pPr>
      <w:r>
        <w:t>Would another figure with the difference between very-low and high for each component for each model at each time period be useful? (basically, “how responsive is each component in each model”) (this may end up being somewhat informative for the later pulse analysis)</w:t>
      </w:r>
    </w:p>
    <w:p w14:paraId="6437F7E6" w14:textId="6F9D45AC" w:rsidR="005910D5" w:rsidRDefault="005910D5" w:rsidP="00FC5BF0">
      <w:pPr>
        <w:pStyle w:val="BodyText"/>
      </w:pPr>
      <w:r>
        <w:t>Also, would it be worth highlighting somewhere that Lad</w:t>
      </w:r>
      <w:proofErr w:type="spellStart"/>
      <w:r>
        <w:t>rillo</w:t>
      </w:r>
      <w:proofErr w:type="spellEnd"/>
      <w:r>
        <w:t xml:space="preserve"> has a different total glacier ice estimate than BRICK (based on the SLEIP paper, I’m assuming that </w:t>
      </w:r>
      <w:proofErr w:type="spellStart"/>
      <w:r>
        <w:t>Ladrillo</w:t>
      </w:r>
      <w:proofErr w:type="spellEnd"/>
      <w:r>
        <w:t xml:space="preserve"> centers around 0.3</w:t>
      </w:r>
      <w:r w:rsidR="00653652">
        <w:t>2</w:t>
      </w:r>
      <w:r>
        <w:t xml:space="preserve"> whereas BRICK centers around 0.41). </w:t>
      </w:r>
      <w:r w:rsidR="00653652">
        <w:t>Are we confident that 0.32 is a better estimate?</w:t>
      </w:r>
    </w:p>
    <w:p w14:paraId="75F96BCE" w14:textId="77777777" w:rsidR="005910D5" w:rsidRDefault="005910D5" w:rsidP="00FC5BF0">
      <w:pPr>
        <w:pStyle w:val="BodyText"/>
      </w:pPr>
      <w:r>
        <w:lastRenderedPageBreak/>
        <w:t xml:space="preserve">I don’t know if we need BRICK in Figure 6: we already point out that BRICK has a problem, we don’t need to highlight it further in a memo that is focused on describing </w:t>
      </w:r>
      <w:proofErr w:type="spellStart"/>
      <w:r>
        <w:t>Ladrillo</w:t>
      </w:r>
      <w:proofErr w:type="spellEnd"/>
      <w:r>
        <w:t xml:space="preserve">. </w:t>
      </w:r>
    </w:p>
    <w:p w14:paraId="13B91C2A" w14:textId="0D3F9422" w:rsidR="005910D5" w:rsidRDefault="005910D5" w:rsidP="00FC5BF0">
      <w:pPr>
        <w:pStyle w:val="BodyText"/>
      </w:pPr>
      <w:r>
        <w:t>Figure 8: I thought that we did end up running FACTS to 2300.</w:t>
      </w:r>
    </w:p>
    <w:p w14:paraId="55D54221" w14:textId="77777777" w:rsidR="005910D5" w:rsidRDefault="005910D5" w:rsidP="00FC5BF0">
      <w:pPr>
        <w:pStyle w:val="BodyText"/>
      </w:pPr>
    </w:p>
    <w:p w14:paraId="032043D9" w14:textId="448D260C" w:rsidR="005910D5" w:rsidRPr="00FC5BF0" w:rsidRDefault="005910D5" w:rsidP="00FC5BF0">
      <w:pPr>
        <w:pStyle w:val="BodyText"/>
      </w:pPr>
      <w:r>
        <w:t xml:space="preserve"> </w:t>
      </w:r>
    </w:p>
    <w:sectPr w:rsidR="005910D5" w:rsidRPr="00FC5BF0" w:rsidSect="00230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5FA"/>
    <w:rsid w:val="001C5582"/>
    <w:rsid w:val="0023077F"/>
    <w:rsid w:val="002805FA"/>
    <w:rsid w:val="002B5BD2"/>
    <w:rsid w:val="00376147"/>
    <w:rsid w:val="00424EB8"/>
    <w:rsid w:val="00500C26"/>
    <w:rsid w:val="005910D5"/>
    <w:rsid w:val="00653652"/>
    <w:rsid w:val="0081377C"/>
    <w:rsid w:val="00915E7B"/>
    <w:rsid w:val="009F1AAE"/>
    <w:rsid w:val="00A82D17"/>
    <w:rsid w:val="00D243EB"/>
    <w:rsid w:val="00D3419E"/>
    <w:rsid w:val="00DB6259"/>
    <w:rsid w:val="00DD3F40"/>
    <w:rsid w:val="00DE11DF"/>
    <w:rsid w:val="00FC5B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82A9D77"/>
  <w14:defaultImageDpi w14:val="32767"/>
  <w15:chartTrackingRefBased/>
  <w15:docId w15:val="{6F4CF794-E44D-774E-9EC9-2768175ED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5FA"/>
    <w:rPr>
      <w:rFonts w:eastAsiaTheme="majorEastAsia" w:cstheme="majorBidi"/>
      <w:color w:val="272727" w:themeColor="text1" w:themeTint="D8"/>
    </w:rPr>
  </w:style>
  <w:style w:type="paragraph" w:styleId="Title">
    <w:name w:val="Title"/>
    <w:basedOn w:val="Normal"/>
    <w:next w:val="Normal"/>
    <w:link w:val="TitleChar"/>
    <w:uiPriority w:val="10"/>
    <w:qFormat/>
    <w:rsid w:val="00280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5FA"/>
    <w:pPr>
      <w:spacing w:before="160"/>
      <w:jc w:val="center"/>
    </w:pPr>
    <w:rPr>
      <w:i/>
      <w:iCs/>
      <w:color w:val="404040" w:themeColor="text1" w:themeTint="BF"/>
    </w:rPr>
  </w:style>
  <w:style w:type="character" w:customStyle="1" w:styleId="QuoteChar">
    <w:name w:val="Quote Char"/>
    <w:basedOn w:val="DefaultParagraphFont"/>
    <w:link w:val="Quote"/>
    <w:uiPriority w:val="29"/>
    <w:rsid w:val="002805FA"/>
    <w:rPr>
      <w:i/>
      <w:iCs/>
      <w:color w:val="404040" w:themeColor="text1" w:themeTint="BF"/>
    </w:rPr>
  </w:style>
  <w:style w:type="paragraph" w:styleId="ListParagraph">
    <w:name w:val="List Paragraph"/>
    <w:basedOn w:val="Normal"/>
    <w:uiPriority w:val="34"/>
    <w:qFormat/>
    <w:rsid w:val="002805FA"/>
    <w:pPr>
      <w:ind w:left="720"/>
      <w:contextualSpacing/>
    </w:pPr>
  </w:style>
  <w:style w:type="character" w:styleId="IntenseEmphasis">
    <w:name w:val="Intense Emphasis"/>
    <w:basedOn w:val="DefaultParagraphFont"/>
    <w:uiPriority w:val="21"/>
    <w:qFormat/>
    <w:rsid w:val="002805FA"/>
    <w:rPr>
      <w:i/>
      <w:iCs/>
      <w:color w:val="2F5496" w:themeColor="accent1" w:themeShade="BF"/>
    </w:rPr>
  </w:style>
  <w:style w:type="paragraph" w:styleId="IntenseQuote">
    <w:name w:val="Intense Quote"/>
    <w:basedOn w:val="Normal"/>
    <w:next w:val="Normal"/>
    <w:link w:val="IntenseQuoteChar"/>
    <w:uiPriority w:val="30"/>
    <w:qFormat/>
    <w:rsid w:val="00280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5FA"/>
    <w:rPr>
      <w:i/>
      <w:iCs/>
      <w:color w:val="2F5496" w:themeColor="accent1" w:themeShade="BF"/>
    </w:rPr>
  </w:style>
  <w:style w:type="character" w:styleId="IntenseReference">
    <w:name w:val="Intense Reference"/>
    <w:basedOn w:val="DefaultParagraphFont"/>
    <w:uiPriority w:val="32"/>
    <w:qFormat/>
    <w:rsid w:val="002805FA"/>
    <w:rPr>
      <w:b/>
      <w:bCs/>
      <w:smallCaps/>
      <w:color w:val="2F5496" w:themeColor="accent1" w:themeShade="BF"/>
      <w:spacing w:val="5"/>
    </w:rPr>
  </w:style>
  <w:style w:type="paragraph" w:styleId="BodyText">
    <w:name w:val="Body Text"/>
    <w:basedOn w:val="Normal"/>
    <w:link w:val="BodyTextChar"/>
    <w:qFormat/>
    <w:rsid w:val="002805FA"/>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2805FA"/>
    <w:rPr>
      <w:rFonts w:eastAsiaTheme="minorEastAsia"/>
      <w:kern w:val="0"/>
      <w:lang w:eastAsia="zh-CN"/>
      <w14:ligatures w14:val="none"/>
    </w:rPr>
  </w:style>
  <w:style w:type="paragraph" w:customStyle="1" w:styleId="FirstParagraph">
    <w:name w:val="First Paragraph"/>
    <w:basedOn w:val="BodyText"/>
    <w:next w:val="BodyText"/>
    <w:qFormat/>
    <w:rsid w:val="002B5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Sarofim</dc:creator>
  <cp:keywords/>
  <dc:description/>
  <cp:lastModifiedBy>Marcus Sarofim</cp:lastModifiedBy>
  <cp:revision>12</cp:revision>
  <dcterms:created xsi:type="dcterms:W3CDTF">2026-09-11T17:23:00Z</dcterms:created>
  <dcterms:modified xsi:type="dcterms:W3CDTF">2026-09-11T18:02:00Z</dcterms:modified>
</cp:coreProperties>
</file>