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w:t>
      </w:r>
      <w:r>
        <w:t xml:space="preserve"> </w:t>
      </w:r>
      <w:r>
        <w:rPr>
          <w:b/>
          <w:bCs/>
        </w:rPr>
        <w:t xml:space="preserve">assumes zero Antarctic-periphery melt</w:t>
      </w:r>
      <w:r>
        <w:t xml:space="preserve">, while the GlaMBIE series spliced in from 2019 onward</w:t>
      </w:r>
      <w:r>
        <w:t xml:space="preserve"> </w:t>
      </w:r>
      <w:r>
        <w:rPr>
          <w:b/>
          <w:bCs/>
        </w:rPr>
        <w:t xml:space="preserve">includes it</w:t>
      </w:r>
      <w:r>
        <w:t xml:space="preserve">. Folding R19 into either SLOWP or FAST would leave the model's hindcast scope mismatched. Keeping it separate lets the hindcast be evaluated on</w:t>
      </w:r>
      <w:r>
        <w:t xml:space="preserve"> </w:t>
      </w:r>
      <w:r>
        <w:rPr>
          <w:b/>
          <w:bCs/>
        </w:rPr>
        <w:t xml:space="preserve">SLOWP + FAST</w:t>
      </w:r>
      <w:r>
        <w:t xml:space="preserve"> </w:t>
      </w:r>
      <w:r>
        <w:t xml:space="preserve">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(slow) and outlet/dynamic discharge (fast). Two channels allow for that partition.</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 CMIP7 history to 2023)</w:t>
      </w:r>
      <w:r>
        <w:t xml:space="preserve">.</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Three Antarctic changes carry the improvement.</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This change fixed the pre-1990 Antarctic melt: with the geometry fixed at the prior medoid, BRICK 2.0 draws far more early-20th-century Antarctic mass loss than the record supports, while Ladrillo tracks the observations to within a hundredth of a centimetre.</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w:t>
      </w:r>
    </w:p>
    <w:p>
      <w:pPr>
        <w:pStyle w:val="BodyText"/>
      </w:pPr>
      <w:r>
        <w:rPr>
          <w:b/>
          <w:bCs/>
        </w:rPr>
        <w:t xml:space="preserve">Criterion matching.</w:t>
      </w:r>
      <w:r>
        <w:t xml:space="preserve"> </w:t>
      </w:r>
      <w:r>
        <w:t xml:space="preserve">L24 is accepted under the deliverable criterion: 19 parameter marginals fail R̂ &lt; 1.05 (primarily the Antarctic-geometry ridge) while projected sea level converges (R̂ = 1.008 at 2100, 1.011 at 2150; ESS ≈ 1050).</w:t>
      </w:r>
    </w:p>
    <w:bookmarkEnd w:id="13"/>
    <w:bookmarkStart w:id="17" w:name="ladrillo-observational-comparison"/>
    <w:p>
      <w:pPr>
        <w:pStyle w:val="Heading2"/>
      </w:pPr>
      <w:r>
        <w:t xml:space="preserve">Ladrillo Observational Comparison</w:t>
      </w:r>
    </w:p>
    <w:p>
      <w:pPr>
        <w:pStyle w:val="FirstParagraph"/>
      </w:pPr>
      <w:r>
        <w:drawing>
          <wp:inline>
            <wp:extent cx="5334000" cy="2959509"/>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thermal expansion (BRICK 2.0 misses the same cell at 1.17× compared to Ladrillo's 1.27×). Against</w:t>
      </w:r>
      <w:r>
        <w:t xml:space="preserve"> </w:t>
      </w:r>
      <w:r>
        <w:rPr>
          <w:i/>
          <w:iCs/>
        </w:rPr>
        <w:t xml:space="preserve">observed</w:t>
      </w:r>
      <w:r>
        <w:t xml:space="preserve"> </w:t>
      </w:r>
      <w:r>
        <w:t xml:space="preserve">ocean heat a single constant coefficient ≈ 0.11 reproduces the steric target across 1900–1950, 1950–1993 and 1993–2024 to within 3%, and Ladrillo's fitted 0.113 sits inside that range. Half the apparent miss is depth scope: FaIR's ocean heat is full-depth while the steric target is 0–2000 m, and correcting on IGCC's own &gt;2000 m layer takes the 1993–2026 rate ratio from 1.27× to 1.15×.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vs.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and separates upward at the long horizons (due largely to Antarctic threshold behavior).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w:t>
      </w:r>
      <w:r>
        <w:t xml:space="preserve"> </w:t>
      </w:r>
      <w:r>
        <w:rPr>
          <w:i/>
          <w:iCs/>
        </w:rPr>
        <w:t xml:space="preserve">level</w:t>
      </w:r>
      <w:r>
        <w:t xml:space="preserve">, but its Antarctic band is</w:t>
      </w:r>
      <w:r>
        <w:t xml:space="preserve"> </w:t>
      </w:r>
      <w:r>
        <w:rPr>
          <w:b/>
          <w:bCs/>
        </w:rPr>
        <w:t xml:space="preserve">wider</w:t>
      </w:r>
      <w:r>
        <w:t xml:space="preserve"> </w:t>
      </w:r>
      <w:r>
        <w:t xml:space="preserve">than the literature's: 2.55× at ssp126/2100 (54.6 cm against 20.7–40.5), which carries the total to 1.48×. Greenland, glaciers and thermal expansion are all narrower there (0.47×, 0.77×, 0.93×). ⚠ This is the one place the benchmark flags a genuine discrepancy, and it is a projection-versus-other-models disagreement rather than an observational conflict. It is wider on L24 than on L21 because the amplification prior is wider — the honest, measured prior, not a tuned one.</w:t>
      </w:r>
    </w:p>
    <w:p>
      <w:pPr>
        <w:pStyle w:val="BodyText"/>
      </w:pPr>
      <w:r>
        <w:rPr>
          <w:b/>
          <w:bCs/>
        </w:rPr>
        <w:t xml:space="preserve">Peak-and-decline scenarios.</w:t>
      </w:r>
      <w:r>
        <w:t xml:space="preserve"> </w:t>
      </w:r>
      <w:r>
        <w:t xml:space="preserve">The glacier change is important here because it allows regrowth, though that regrowth is modest. Swapping back to the melt-only ratchet on a held posterior moves the total by only ≤6.2×10⁻⁵ cm on the SSPs and −0.20 cm at the low-overshoot marker, so what the law buys is structural rather than numerical: glaciers halt when temperature halts — the glacier rate at 2300 falls to 0.00–0.55 mm/yr on declining pathways against 1.96 on a rising one — and can reverse, which BRICK 2.0's melt-only formulation cannot do at all.</w:t>
      </w:r>
    </w:p>
    <w:p>
      <w:pPr>
        <w:pStyle w:val="BodyText"/>
      </w:pPr>
      <w:r>
        <w:rPr>
          <w:b/>
          <w:bCs/>
        </w:rPr>
        <w:t xml:space="preserve">MAGICC regrows substantially more than Ladrillo, and about ¾ of that is model structure and ¼ the climate module.</w:t>
      </w:r>
      <w:r>
        <w:t xml:space="preserve"> </w:t>
      </w:r>
      <w:r>
        <w:t xml:space="preserve">Re-running Ladrillo on MAGICC's own climate closes 13–35% of the regrowth gap (mean 24%) across the five van Vuuren markers where MAGICC regrows, leaving the rest to structure. The structural half is a</w:t>
      </w:r>
      <w:r>
        <w:t xml:space="preserve"> </w:t>
      </w:r>
      <w:r>
        <w:rPr>
          <w:i/>
          <w:iCs/>
        </w:rPr>
        <w:t xml:space="preserve">rate</w:t>
      </w:r>
      <w:r>
        <w:t xml:space="preserve"> </w:t>
      </w:r>
      <w:r>
        <w:t xml:space="preserve">limit, not an equilibrium one. At vvLN, where MAGICC's climate falls to −0.71 K by 2300, Ladrillo's own glacier equilibrium drops from 19.1 cm to 2.2 cm — 16.9 cm of headroom — yet it regrows only 2.1 cm of it. The reason is that Ladrillo's regional blocks relax at very different speeds on the cooling limb: FAST has a ~95-year timescale, but SLOWP (~275 yr) and R19 (~465 yr) together hold 60% of the headroom and cannot traverse it inside the horizon while chasing a still-falling equilibrium. MAGICC has no regional split — one global reservoir, relaxing fast enough to reach its floor. ⭐</w:t>
      </w:r>
      <w:r>
        <w:t xml:space="preserve"> </w:t>
      </w:r>
      <w:r>
        <w:rPr>
          <w:b/>
          <w:bCs/>
        </w:rPr>
        <w:t xml:space="preserve">The regionalisation that makes Ladrillo fit the historical record better is the same feature that makes it slower to regrow.</w:t>
      </w:r>
    </w:p>
    <w:p>
      <w:pPr>
        <w:pStyle w:val="BodyText"/>
      </w:pPr>
      <w:r>
        <w:t xml:space="preserve">On a matched-temperature overshoot pair the regrowth is modest for everyone: at 2300 Ladrillo gives 2.21 cm against BRICK 2.0's 2.58, inside the 1.65–5.39 cm spread of four FACTS process-based workflows, with the long upper tails coming from the MICI-capable arm rather than from disagreement about the central estimate.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2026-09-03T14:22:00Z</dcterms:created>
  <dcterms:modified xsi:type="dcterms:W3CDTF">2026-09-03T14:22:00Z</dcterms:modified>
</cp:coreProperties>
</file>

<file path=docProps/custom.xml><?xml version="1.0" encoding="utf-8"?>
<Properties xmlns="http://schemas.openxmlformats.org/officeDocument/2006/custom-properties" xmlns:vt="http://schemas.openxmlformats.org/officeDocument/2006/docPropsVTypes"/>
</file>