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42.png" ContentType="image/png"/>
  <Override PartName="/word/media/rId36.png" ContentType="image/png"/>
  <Override PartName="/word/media/rId39.png" ContentType="image/png"/>
  <Override PartName="/word/media/rId18.png" ContentType="image/png"/>
  <Override PartName="/word/media/rId21.png" ContentType="image/png"/>
  <Override PartName="/word/media/rId24.png" ContentType="image/png"/>
  <Override PartName="/word/media/rId46.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from 1900 or earlier: BRICK 2.0, SURFER, MP25. Of these three, SURFER's historical total runs outside the observational range in SLEIP's own assessment, and MP25 is a statistical fit to the Frederikse reconstruction that projects only to 2100. MAGICC-SLR and FRISIA start their ice sheets in 1990 and 2002 and ProFSea starts in 2007. Meanwhile, beyond 2100, FACTS's ice-sheet modules either extrapolate or sample from 21st-century projections, and MAGICC-SLR can only be run on MAGICC's own climate.</w:t>
      </w:r>
    </w:p>
    <w:p>
      <w:pPr>
        <w:pStyle w:val="BodyText"/>
      </w:pPr>
      <w:r>
        <w:t xml:space="preserve">As a derivative of BRICK, Ladrillo and BRICK do have a similar niche. However, while Ladrillo generally keeps to BRICK’s design philosophy of physically based components calibrated on the historical record, it does depart from that philosophy in two places that observations cannot reach, namely a Greenland commitment above a threshold, informed by SICOPOLIS, and local-to-global temperature amplification, informed by CMIP6. Ladrillo also extended some of BRICK’s observational constraints (an Antarctic likelihood from 1900 rather than IMBIE's 1992–2017; Dangendorf, GlaMBIE, GRACE and Mouginot added), and is calibrated to a current version of FaIR (2.2.4, calibration 1.6.0, 841-member climate ensemble) rather than being coupled to SNEASY.</w:t>
      </w:r>
    </w:p>
    <w:p>
      <w:pPr>
        <w:pStyle w:val="BodyText"/>
      </w:pPr>
      <w:r>
        <w:rPr>
          <w:b/>
          <w:bCs/>
        </w:rPr>
        <w:t xml:space="preserve">Table 1.</w:t>
      </w:r>
      <w:r>
        <w:t xml:space="preserve"> </w:t>
      </w:r>
      <w:r>
        <w:t xml:space="preserve">Attributes of the seven SLEIP emulators and Ladrillo. SLEIP entries are taken from the SLEIP preprint (Tables 2 and 6 and §3); FACTS's post-2100 behaviour, and the BRICK 2.0, MAGICC and FACTS glacier inventories, are read from the model code and drawnsets in this project. "—" means the emulator lacks the component; "n.s." means not stated in SLEIP.</w:t>
      </w:r>
    </w:p>
    <w:tbl>
      <w:tblPr>
        <w:tblStyle w:val="Table"/>
        <w:tblW w:type="pct" w:w="5000"/>
        <w:tblLayout w:type="fixed"/>
        <w:tblLook w:firstRow="1" w:lastRow="0" w:firstColumn="0" w:lastColumn="0" w:noHBand="0" w:noVBand="0" w:val="0020"/>
      </w:tblPr>
      <w:tblGrid>
        <w:gridCol w:w="1788"/>
        <w:gridCol w:w="510"/>
        <w:gridCol w:w="1149"/>
        <w:gridCol w:w="638"/>
        <w:gridCol w:w="766"/>
        <w:gridCol w:w="510"/>
        <w:gridCol w:w="766"/>
        <w:gridCol w:w="766"/>
        <w:gridCol w:w="1021"/>
      </w:tblGrid>
      <w:tr>
        <w:trPr>
          <w:tblHeader w:val="on"/>
        </w:trPr>
        <w:tc>
          <w:tcPr/>
          <w:p>
            <w:pPr>
              <w:pStyle w:val="Compact"/>
            </w:pPr>
            <w:r>
              <w:t xml:space="preserve">attribute</w:t>
            </w:r>
          </w:p>
        </w:tc>
        <w:tc>
          <w:tcPr/>
          <w:p>
            <w:pPr>
              <w:pStyle w:val="Compact"/>
            </w:pPr>
            <w:r>
              <w:t xml:space="preserve">BRICK 2.0</w:t>
            </w:r>
          </w:p>
        </w:tc>
        <w:tc>
          <w:tcPr/>
          <w:p>
            <w:pPr>
              <w:pStyle w:val="Compact"/>
            </w:pPr>
            <w:r>
              <w:t xml:space="preserve">FACTS</w:t>
            </w:r>
          </w:p>
        </w:tc>
        <w:tc>
          <w:tcPr/>
          <w:p>
            <w:pPr>
              <w:pStyle w:val="Compact"/>
            </w:pPr>
            <w:r>
              <w:t xml:space="preserve">FRISIA</w:t>
            </w:r>
          </w:p>
        </w:tc>
        <w:tc>
          <w:tcPr/>
          <w:p>
            <w:pPr>
              <w:pStyle w:val="Compact"/>
            </w:pPr>
            <w:r>
              <w:t xml:space="preserve">MAGICC-SLR</w:t>
            </w:r>
          </w:p>
        </w:tc>
        <w:tc>
          <w:tcPr/>
          <w:p>
            <w:pPr>
              <w:pStyle w:val="Compact"/>
            </w:pPr>
            <w:r>
              <w:t xml:space="preserve">MP25</w:t>
            </w:r>
          </w:p>
        </w:tc>
        <w:tc>
          <w:tcPr/>
          <w:p>
            <w:pPr>
              <w:pStyle w:val="Compact"/>
            </w:pPr>
            <w:r>
              <w:t xml:space="preserve">ProFSea</w:t>
            </w:r>
          </w:p>
        </w:tc>
        <w:tc>
          <w:tcPr/>
          <w:p>
            <w:pPr>
              <w:pStyle w:val="Compact"/>
            </w:pPr>
            <w:r>
              <w:t xml:space="preserve">SURFER</w:t>
            </w:r>
          </w:p>
        </w:tc>
        <w:tc>
          <w:tcPr/>
          <w:p>
            <w:pPr>
              <w:pStyle w:val="Compact"/>
            </w:pPr>
            <w:r>
              <w:t xml:space="preserve">Ladrillo</w:t>
            </w:r>
          </w:p>
        </w:tc>
      </w:tr>
      <w:tr>
        <w:tc>
          <w:tcPr/>
          <w:p>
            <w:pPr>
              <w:pStyle w:val="Compact"/>
            </w:pPr>
            <w:r>
              <w:t xml:space="preserve">Hindcast of every component (start year)</w:t>
            </w:r>
          </w:p>
        </w:tc>
        <w:tc>
          <w:tcPr/>
          <w:p>
            <w:pPr>
              <w:pStyle w:val="Compact"/>
            </w:pPr>
            <w:r>
              <w:t xml:space="preserve">yes (1850)</w:t>
            </w:r>
          </w:p>
        </w:tc>
        <w:tc>
          <w:tcPr/>
          <w:p>
            <w:pPr>
              <w:pStyle w:val="Compact"/>
            </w:pPr>
            <w:r>
              <w:t xml:space="preserve">no (2005)</w:t>
            </w:r>
          </w:p>
        </w:tc>
        <w:tc>
          <w:tcPr/>
          <w:p>
            <w:pPr>
              <w:pStyle w:val="Compact"/>
            </w:pPr>
            <w:r>
              <w:t xml:space="preserve">partial (GIS 1990, AIS 2002)</w:t>
            </w:r>
          </w:p>
        </w:tc>
        <w:tc>
          <w:tcPr/>
          <w:p>
            <w:pPr>
              <w:pStyle w:val="Compact"/>
            </w:pPr>
            <w:r>
              <w:t xml:space="preserve">partial (GIS 1990, AIS 2002)</w:t>
            </w:r>
          </w:p>
        </w:tc>
        <w:tc>
          <w:tcPr/>
          <w:p>
            <w:pPr>
              <w:pStyle w:val="Compact"/>
            </w:pPr>
            <w:r>
              <w:t xml:space="preserve">yes (1900)</w:t>
            </w:r>
          </w:p>
        </w:tc>
        <w:tc>
          <w:tcPr/>
          <w:p>
            <w:pPr>
              <w:pStyle w:val="Compact"/>
            </w:pPr>
            <w:r>
              <w:t xml:space="preserve">no (2007)</w:t>
            </w:r>
          </w:p>
        </w:tc>
        <w:tc>
          <w:tcPr/>
          <w:p>
            <w:pPr>
              <w:pStyle w:val="Compact"/>
            </w:pPr>
            <w:r>
              <w:t xml:space="preserve">yes (1850)</w:t>
            </w:r>
          </w:p>
        </w:tc>
        <w:tc>
          <w:tcPr/>
          <w:p>
            <w:pPr>
              <w:pStyle w:val="Compact"/>
            </w:pPr>
            <w:r>
              <w:t xml:space="preserve">yes (1850; scored from 1900)</w:t>
            </w:r>
          </w:p>
        </w:tc>
      </w:tr>
      <w:tr>
        <w:tc>
          <w:tcPr/>
          <w:p>
            <w:pPr>
              <w:pStyle w:val="Compact"/>
            </w:pPr>
            <w:r>
              <w:t xml:space="preserve">Calibrated on observations rather than process-model projections</w:t>
            </w:r>
          </w:p>
        </w:tc>
        <w:tc>
          <w:tcPr/>
          <w:p>
            <w:pPr>
              <w:pStyle w:val="Compact"/>
            </w:pPr>
            <w:r>
              <w:t xml:space="preserve">yes</w:t>
            </w:r>
          </w:p>
        </w:tc>
        <w:tc>
          <w:tcPr/>
          <w:p>
            <w:pPr>
              <w:pStyle w:val="Compact"/>
            </w:pPr>
            <w:r>
              <w:t xml:space="preserve">no (emulates ISMIP6, LARMIP, DeConto; SEJ)</w:t>
            </w:r>
          </w:p>
        </w:tc>
        <w:tc>
          <w:tcPr/>
          <w:p>
            <w:pPr>
              <w:pStyle w:val="Compact"/>
            </w:pPr>
            <w:r>
              <w:t xml:space="preserve">mixed (Horwath obs + AR6)</w:t>
            </w:r>
          </w:p>
        </w:tc>
        <w:tc>
          <w:tcPr/>
          <w:p>
            <w:pPr>
              <w:pStyle w:val="Compact"/>
            </w:pPr>
            <w:r>
              <w:t xml:space="preserve">no (SICOPOLIS, PISM, Marzeion)</w:t>
            </w:r>
          </w:p>
        </w:tc>
        <w:tc>
          <w:tcPr/>
          <w:p>
            <w:pPr>
              <w:pStyle w:val="Compact"/>
            </w:pPr>
            <w:r>
              <w:t xml:space="preserve">mixed (Frederikse + AR6 2100)</w:t>
            </w:r>
          </w:p>
        </w:tc>
        <w:tc>
          <w:tcPr/>
          <w:p>
            <w:pPr>
              <w:pStyle w:val="Compact"/>
            </w:pPr>
            <w:r>
              <w:t xml:space="preserve">no (ISMIP6, GlacierMIP2)</w:t>
            </w:r>
          </w:p>
        </w:tc>
        <w:tc>
          <w:tcPr/>
          <w:p>
            <w:pPr>
              <w:pStyle w:val="Compact"/>
            </w:pPr>
            <w:r>
              <w:t xml:space="preserve">no (tipping points from ice-sheet models)</w:t>
            </w:r>
          </w:p>
        </w:tc>
        <w:tc>
          <w:tcPr/>
          <w:p>
            <w:pPr>
              <w:pStyle w:val="Compact"/>
            </w:pPr>
            <w:r>
              <w:t xml:space="preserve">yes, plus two priors (SICOPOLIS tap, CMIP6 amplification)</w:t>
            </w:r>
          </w:p>
        </w:tc>
      </w:tr>
      <w:tr>
        <w:tc>
          <w:tcPr/>
          <w:p>
            <w:pPr>
              <w:pStyle w:val="Compact"/>
            </w:pPr>
            <w:r>
              <w:t xml:space="preserve">Accepts an external climate (can be run on FaIR)</w:t>
            </w:r>
          </w:p>
        </w:tc>
        <w:tc>
          <w:tcPr/>
          <w:p>
            <w:pPr>
              <w:pStyle w:val="Compact"/>
            </w:pPr>
            <w:r>
              <w:t xml:space="preserve">yes</w:t>
            </w:r>
          </w:p>
        </w:tc>
        <w:tc>
          <w:tcPr/>
          <w:p>
            <w:pPr>
              <w:pStyle w:val="Compact"/>
            </w:pPr>
            <w:r>
              <w:t xml:space="preserve">yes (FaIR 1.6.4 native)</w:t>
            </w:r>
          </w:p>
        </w:tc>
        <w:tc>
          <w:tcPr/>
          <w:p>
            <w:pPr>
              <w:pStyle w:val="Compact"/>
            </w:pPr>
            <w:r>
              <w:t xml:space="preserve">yes (FaIR 2.1.1 native)</w:t>
            </w:r>
          </w:p>
        </w:tc>
        <w:tc>
          <w:tcPr/>
          <w:p>
            <w:pPr>
              <w:pStyle w:val="Compact"/>
            </w:pPr>
            <w:r>
              <w:t xml:space="preserve">no (MAGICC only)</w:t>
            </w:r>
          </w:p>
        </w:tc>
        <w:tc>
          <w:tcPr/>
          <w:p>
            <w:pPr>
              <w:pStyle w:val="Compact"/>
            </w:pPr>
            <w:r>
              <w:t xml:space="preserve">GMST only</w:t>
            </w:r>
          </w:p>
        </w:tc>
        <w:tc>
          <w:tcPr/>
          <w:p>
            <w:pPr>
              <w:pStyle w:val="Compact"/>
            </w:pPr>
            <w:r>
              <w:t xml:space="preserve">yes (OHC from FaIR or MAGICC)</w:t>
            </w:r>
          </w:p>
        </w:tc>
        <w:tc>
          <w:tcPr/>
          <w:p>
            <w:pPr>
              <w:pStyle w:val="Compact"/>
            </w:pPr>
            <w:r>
              <w:t xml:space="preserve">no (own climate from emissions)</w:t>
            </w:r>
          </w:p>
        </w:tc>
        <w:tc>
          <w:tcPr/>
          <w:p>
            <w:pPr>
              <w:pStyle w:val="Compact"/>
            </w:pPr>
            <w:r>
              <w:t xml:space="preserve">yes (FaIR 2.2.4, calib 1.6.0)</w:t>
            </w:r>
          </w:p>
        </w:tc>
      </w:tr>
      <w:tr>
        <w:tc>
          <w:tcPr/>
          <w:p>
            <w:pPr>
              <w:pStyle w:val="Compact"/>
            </w:pPr>
            <w:r>
              <w:t xml:space="preserve">Components climate-driven past 2100</w:t>
            </w:r>
          </w:p>
        </w:tc>
        <w:tc>
          <w:tcPr/>
          <w:p>
            <w:pPr>
              <w:pStyle w:val="Compact"/>
            </w:pPr>
            <w:r>
              <w:t xml:space="preserve">yes</w:t>
            </w:r>
          </w:p>
        </w:tc>
        <w:tc>
          <w:tcPr/>
          <w:p>
            <w:pPr>
              <w:pStyle w:val="Compact"/>
            </w:pPr>
            <w:r>
              <w:t xml:space="preserve">TE, glaciers only (ice sheets extrapolate or sample 21st-century projections)</w:t>
            </w:r>
          </w:p>
        </w:tc>
        <w:tc>
          <w:tcPr/>
          <w:p>
            <w:pPr>
              <w:pStyle w:val="Compact"/>
            </w:pPr>
            <w:r>
              <w:t xml:space="preserve">yes</w:t>
            </w:r>
          </w:p>
        </w:tc>
        <w:tc>
          <w:tcPr/>
          <w:p>
            <w:pPr>
              <w:pStyle w:val="Compact"/>
            </w:pPr>
            <w:r>
              <w:t xml:space="preserve">yes (calibrated to 2300–2500)</w:t>
            </w:r>
          </w:p>
        </w:tc>
        <w:tc>
          <w:tcPr/>
          <w:p>
            <w:pPr>
              <w:pStyle w:val="Compact"/>
            </w:pPr>
            <w:r>
              <w:t xml:space="preserve">no (2100 model, extrapolated)</w:t>
            </w:r>
          </w:p>
        </w:tc>
        <w:tc>
          <w:tcPr/>
          <w:p>
            <w:pPr>
              <w:pStyle w:val="Compact"/>
            </w:pPr>
            <w:r>
              <w:t xml:space="preserve">partial (GIS as FACTS; AIS to 2300)</w:t>
            </w:r>
          </w:p>
        </w:tc>
        <w:tc>
          <w:tcPr/>
          <w:p>
            <w:pPr>
              <w:pStyle w:val="Compact"/>
            </w:pPr>
            <w:r>
              <w:t xml:space="preserve">yes</w:t>
            </w:r>
          </w:p>
        </w:tc>
        <w:tc>
          <w:tcPr/>
          <w:p>
            <w:pPr>
              <w:pStyle w:val="Compact"/>
            </w:pPr>
            <w:r>
              <w:t xml:space="preserve">yes</w:t>
            </w:r>
          </w:p>
        </w:tc>
      </w:tr>
      <w:tr>
        <w:tc>
          <w:tcPr/>
          <w:p>
            <w:pPr>
              <w:pStyle w:val="Compact"/>
            </w:pPr>
            <w:r>
              <w:t xml:space="preserve">Thermal expansion</w:t>
            </w:r>
          </w:p>
        </w:tc>
        <w:tc>
          <w:tcPr/>
          <w:p>
            <w:pPr>
              <w:pStyle w:val="Compact"/>
            </w:pPr>
            <w:r>
              <w:t xml:space="preserve">∝ OHC</w:t>
            </w:r>
          </w:p>
        </w:tc>
        <w:tc>
          <w:tcPr/>
          <w:p>
            <w:pPr>
              <w:pStyle w:val="Compact"/>
            </w:pPr>
            <w:r>
              <w:t xml:space="preserve">coefficient × OHC</w:t>
            </w:r>
          </w:p>
        </w:tc>
        <w:tc>
          <w:tcPr/>
          <w:p>
            <w:pPr>
              <w:pStyle w:val="Compact"/>
            </w:pPr>
            <w:r>
              <w:t xml:space="preserve">coefficient × OHC</w:t>
            </w:r>
          </w:p>
        </w:tc>
        <w:tc>
          <w:tcPr/>
          <w:p>
            <w:pPr>
              <w:pStyle w:val="Compact"/>
            </w:pPr>
            <w:r>
              <w:t xml:space="preserve">40-layer, layer-specific</w:t>
            </w:r>
          </w:p>
        </w:tc>
        <w:tc>
          <w:tcPr/>
          <w:p>
            <w:pPr>
              <w:pStyle w:val="Compact"/>
            </w:pPr>
            <w:r>
              <w:t xml:space="preserve">linear in GSAT</w:t>
            </w:r>
          </w:p>
        </w:tc>
        <w:tc>
          <w:tcPr/>
          <w:p>
            <w:pPr>
              <w:pStyle w:val="Compact"/>
            </w:pPr>
            <w:r>
              <w:t xml:space="preserve">coefficient × OHC</w:t>
            </w:r>
          </w:p>
        </w:tc>
        <w:tc>
          <w:tcPr/>
          <w:p>
            <w:pPr>
              <w:pStyle w:val="Compact"/>
            </w:pPr>
            <w:r>
              <w:t xml:space="preserve">3-layer, layer-specific</w:t>
            </w:r>
          </w:p>
        </w:tc>
        <w:tc>
          <w:tcPr/>
          <w:p>
            <w:pPr>
              <w:pStyle w:val="Compact"/>
            </w:pPr>
            <w:r>
              <w:t xml:space="preserve">∝ OHC</w:t>
            </w:r>
          </w:p>
        </w:tc>
      </w:tr>
      <w:tr>
        <w:tc>
          <w:tcPr/>
          <w:p>
            <w:pPr>
              <w:pStyle w:val="Compact"/>
            </w:pPr>
            <w:r>
              <w:t xml:space="preserve">Glacier inventory vs Farinotti 2019 (32.4 ± 8.4 cm full RGI)</w:t>
            </w:r>
          </w:p>
        </w:tc>
        <w:tc>
          <w:tcPr/>
          <w:p>
            <w:pPr>
              <w:pStyle w:val="Compact"/>
            </w:pPr>
            <w:r>
              <w:t xml:space="preserve">42 cm (Wigley–Raper 41)</w:t>
            </w:r>
          </w:p>
        </w:tc>
        <w:tc>
          <w:tcPr/>
          <w:p>
            <w:pPr>
              <w:pStyle w:val="Compact"/>
            </w:pPr>
            <w:r>
              <w:t xml:space="preserve">31.6 cm cap (AR5 Table 4.2)</w:t>
            </w:r>
          </w:p>
        </w:tc>
        <w:tc>
          <w:tcPr/>
          <w:p>
            <w:pPr>
              <w:pStyle w:val="Compact"/>
            </w:pPr>
            <w:r>
              <w:t xml:space="preserve">n.s.</w:t>
            </w:r>
          </w:p>
        </w:tc>
        <w:tc>
          <w:tcPr/>
          <w:p>
            <w:pPr>
              <w:pStyle w:val="Compact"/>
            </w:pPr>
            <w:r>
              <w:t xml:space="preserve">35.6–45.1 cm across tunes</w:t>
            </w:r>
          </w:p>
        </w:tc>
        <w:tc>
          <w:tcPr/>
          <w:p>
            <w:pPr>
              <w:pStyle w:val="Compact"/>
            </w:pPr>
            <w:r>
              <w:t xml:space="preserve">n.s.</w:t>
            </w:r>
          </w:p>
        </w:tc>
        <w:tc>
          <w:tcPr/>
          <w:p>
            <w:pPr>
              <w:pStyle w:val="Compact"/>
            </w:pPr>
            <w:r>
              <w:t xml:space="preserve">n.s. (AR5 form)</w:t>
            </w:r>
          </w:p>
        </w:tc>
        <w:tc>
          <w:tcPr/>
          <w:p>
            <w:pPr>
              <w:pStyle w:val="Compact"/>
            </w:pPr>
            <w:r>
              <w:t xml:space="preserve">50 cm</w:t>
            </w:r>
          </w:p>
        </w:tc>
        <w:tc>
          <w:tcPr/>
          <w:p>
            <w:pPr>
              <w:pStyle w:val="Compact"/>
            </w:pPr>
            <w:r>
              <w:t xml:space="preserve">29.0 ± 6.0 cm on target scope</w:t>
            </w:r>
          </w:p>
        </w:tc>
      </w:tr>
      <w:tr>
        <w:tc>
          <w:tcPr/>
          <w:p>
            <w:pPr>
              <w:pStyle w:val="Compact"/>
            </w:pPr>
            <w:r>
              <w:t xml:space="preserve">Glaciers can regrow under cooling</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n.s.</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Greenland SMB / discharge split</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(two channels, two basins)</w:t>
            </w:r>
          </w:p>
        </w:tc>
      </w:tr>
      <w:tr>
        <w:tc>
          <w:tcPr/>
          <w:p>
            <w:pPr>
              <w:pStyle w:val="Compact"/>
            </w:pPr>
            <w:r>
              <w:t xml:space="preserve">Antarctic ice sheet (SLEIP type)</w:t>
            </w:r>
          </w:p>
        </w:tc>
        <w:tc>
          <w:tcPr/>
          <w:p>
            <w:pPr>
              <w:pStyle w:val="Compact"/>
            </w:pPr>
            <w:r>
              <w:t xml:space="preserve">physical model (DAIS)</w:t>
            </w:r>
          </w:p>
        </w:tc>
        <w:tc>
          <w:tcPr/>
          <w:p>
            <w:pPr>
              <w:pStyle w:val="Compact"/>
            </w:pPr>
            <w:r>
              <w:t xml:space="preserve">statistical / parametric / SEJ by workflow</w:t>
            </w:r>
          </w:p>
        </w:tc>
        <w:tc>
          <w:tcPr/>
          <w:p>
            <w:pPr>
              <w:pStyle w:val="Compact"/>
            </w:pPr>
            <w:r>
              <w:t xml:space="preserve">physical model (DAIS)</w:t>
            </w:r>
          </w:p>
        </w:tc>
        <w:tc>
          <w:tcPr/>
          <w:p>
            <w:pPr>
              <w:pStyle w:val="Compact"/>
            </w:pPr>
            <w:r>
              <w:t xml:space="preserve">parametric</w:t>
            </w:r>
          </w:p>
        </w:tc>
        <w:tc>
          <w:tcPr/>
          <w:p>
            <w:pPr>
              <w:pStyle w:val="Compact"/>
            </w:pPr>
            <w:r>
              <w:t xml:space="preserve">parametric</w:t>
            </w:r>
          </w:p>
        </w:tc>
        <w:tc>
          <w:tcPr/>
          <w:p>
            <w:pPr>
              <w:pStyle w:val="Compact"/>
            </w:pPr>
            <w:r>
              <w:t xml:space="preserve">statistical fit</w:t>
            </w:r>
          </w:p>
        </w:tc>
        <w:tc>
          <w:tcPr/>
          <w:p>
            <w:pPr>
              <w:pStyle w:val="Compact"/>
            </w:pPr>
            <w:r>
              <w:t xml:space="preserve">physical model (ODE tipping element)</w:t>
            </w:r>
          </w:p>
        </w:tc>
        <w:tc>
          <w:tcPr/>
          <w:p>
            <w:pPr>
              <w:pStyle w:val="Compact"/>
            </w:pPr>
            <w:r>
              <w:t xml:space="preserve">physical model (DAIS, recalibrated)</w:t>
            </w:r>
          </w:p>
        </w:tc>
      </w:tr>
      <w:tr>
        <w:tc>
          <w:tcPr/>
          <w:p>
            <w:pPr>
              <w:pStyle w:val="Compact"/>
            </w:pPr>
            <w:r>
              <w:t xml:space="preserve">Regional output / relative sea level</w:t>
            </w:r>
          </w:p>
        </w:tc>
        <w:tc>
          <w:tcPr/>
          <w:p>
            <w:pPr>
              <w:pStyle w:val="Compact"/>
            </w:pPr>
            <w:r>
              <w:t xml:space="preserve">yes / no</w:t>
            </w:r>
          </w:p>
        </w:tc>
        <w:tc>
          <w:tcPr/>
          <w:p>
            <w:pPr>
              <w:pStyle w:val="Compact"/>
            </w:pPr>
            <w:r>
              <w:t xml:space="preserve">yes / yes</w:t>
            </w:r>
          </w:p>
        </w:tc>
        <w:tc>
          <w:tcPr/>
          <w:p>
            <w:pPr>
              <w:pStyle w:val="Compact"/>
            </w:pPr>
            <w:r>
              <w:t xml:space="preserve">yes / no</w:t>
            </w:r>
          </w:p>
        </w:tc>
        <w:tc>
          <w:tcPr/>
          <w:p>
            <w:pPr>
              <w:pStyle w:val="Compact"/>
            </w:pPr>
            <w:r>
              <w:t xml:space="preserve">no / no</w:t>
            </w:r>
          </w:p>
        </w:tc>
        <w:tc>
          <w:tcPr/>
          <w:p>
            <w:pPr>
              <w:pStyle w:val="Compact"/>
            </w:pPr>
            <w:r>
              <w:t xml:space="preserve">yes / yes</w:t>
            </w:r>
          </w:p>
        </w:tc>
        <w:tc>
          <w:tcPr/>
          <w:p>
            <w:pPr>
              <w:pStyle w:val="Compact"/>
            </w:pPr>
            <w:r>
              <w:t xml:space="preserve">yes / yes</w:t>
            </w:r>
          </w:p>
        </w:tc>
        <w:tc>
          <w:tcPr/>
          <w:p>
            <w:pPr>
              <w:pStyle w:val="Compact"/>
            </w:pPr>
            <w:r>
              <w:t xml:space="preserve">no / no</w:t>
            </w:r>
          </w:p>
        </w:tc>
        <w:tc>
          <w:tcPr/>
          <w:p>
            <w:pPr>
              <w:pStyle w:val="Compact"/>
            </w:pPr>
            <w:r>
              <w:t xml:space="preserve">no / no</w:t>
            </w:r>
          </w:p>
        </w:tc>
      </w:tr>
    </w:tbl>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so it is not physically interchangeable with them either.</w:t>
      </w:r>
    </w:p>
    <w:p>
      <w:pPr>
        <w:pStyle w:val="BodyText"/>
      </w:pPr>
      <w:r>
        <w:t xml:space="preserve">These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centres on 42 cm SLE (5–95% 32–52), inherited from the Wigley and Raper (2005) assumed maximum of 41 cm; Ladrillo constrains the remaining stock at 2000 to 29.0 ± 6.0 cm SLE on its target scope (Farinotti 2019 excluding RGI regions 5 and 19, plus 6.9 cm for region 19), with Millan 2022 agreeing to 1% on the matched scope. The full-RGI Farinotti value is 32.4 ± 8.4 cm. The comparators' inventories are larger and differ in scope: FACTS's AR5 glacier module caps cumulative melt at 31.6 cm SLE (AR5 Table 4.2's 41.2 cm less 9.63 cm; its regional fingerprints include the Greenland periphery and no Antarctic periphery), which every SSP5-8.5 sample reaches by 2300; MAGICC's tabulated equilibrium curves reach 35.6–45.1 cm SLE across their 15 tunes. Ladrillo's glaciers exclude RGI 05 (about 3.4 cm SLE, carried inside its Greenland ice-sheet mask), so its glacier contribution is structurally smaller than the comparators' by that region's melt.</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2.</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24"/>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3.</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46" Target="media/rId46.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2026-09-12T19:13:02Z</dcterms:created>
  <dcterms:modified xsi:type="dcterms:W3CDTF">2026-09-12T19:13:02Z</dcterms:modified>
</cp:coreProperties>
</file>

<file path=docProps/custom.xml><?xml version="1.0" encoding="utf-8"?>
<Properties xmlns="http://schemas.openxmlformats.org/officeDocument/2006/custom-properties" xmlns:vt="http://schemas.openxmlformats.org/officeDocument/2006/docPropsVTypes"/>
</file>