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 that both runs 1900–2300 and matches observed total sea level.</w:t>
      </w:r>
    </w:p>
    <w:p>
      <w:pPr>
        <w:pStyle w:val="BodyText"/>
      </w:pPr>
      <w:r>
        <w:t xml:space="preserve">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a Greenland commitment above a threshold, informed by ISMIP6 and SICOPOLIS; and the use of GlacierMIP3 experiments to inform each glacier block’s committed loss and response time at future warming levels. Ladrillo also extended some of BRICK’s observational constraints (an Antarctic likelihood from 1900 rather than IMBIE's 1992–2017;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the glacier committed-loss curves and response-time anchors (GlacierMIP3) and the Antarctic amplification prior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Units and baselines.</w:t>
      </w:r>
      <w:r>
        <w:t xml:space="preserve"> </w:t>
      </w:r>
      <w:r>
        <w:t xml:space="preserve">Units are cm. Two baseline windows are used: 1995–2005 for the hindcast section (FIG 1, the RMSE table, and the 2024 levels); and 1995–2014 for the projection sections.</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w:t>
      </w:r>
    </w:p>
    <w:p>
      <w:pPr>
        <w:pStyle w:val="BodyText"/>
      </w:pPr>
      <w:r>
        <w:t xml:space="preserve">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(50 year relaxation and present-day temperatures) and outlet/dynamic discharge (170 year relaxation).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increase Greenland melt by an additional 1 cm (SSP1-2.6, 2300) to 9 cm (SSP5-8.5, 2300).</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global mean temperature, two stages, whole-sheet. It has zero effect below the threshold. It cannot be calibrated on observations, so the parameters were informed by ISMIP6 at 2100 and SICOPOLIS at 2300 and 3001. It contributes 35.1 cm to the SSP5-8.5 total at 2300 and nothing at SSP1-2.6 (exactly zero) or SSP2-4.5 (+0.04 cm). Without it, Greenland's SSP5-8.5 to SSP2-4.5 ratio at 2300 is 2.6,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pPr>
        <w:pStyle w:val="BodyText"/>
      </w:pPr>
      <w:r>
        <w:t xml:space="preserve">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Calibration inputs added or replaced relative to BRICK 2.0, with the version of each as used, and the two total-sea-level series the hindcast is compared against but not fitted to.</w:t>
      </w:r>
    </w:p>
    <w:tbl>
      <w:tblPr>
        <w:tblStyle w:val="Table"/>
        <w:tblW w:type="pct" w:w="5000"/>
        <w:tblLayout w:type="fixed"/>
        <w:tblLook w:firstRow="1" w:lastRow="0" w:firstColumn="0" w:lastColumn="0" w:noHBand="0" w:noVBand="0" w:val="0020"/>
      </w:tblPr>
      <w:tblGrid>
        <w:gridCol w:w="1821"/>
        <w:gridCol w:w="2930"/>
        <w:gridCol w:w="3168"/>
      </w:tblGrid>
      <w:tr>
        <w:trPr>
          <w:tblHeader w:val="on"/>
        </w:trPr>
        <w:tc>
          <w:tcPr/>
          <w:p>
            <w:pPr>
              <w:pStyle w:val="Compact"/>
            </w:pPr>
            <w:r>
              <w:t xml:space="preserve">data source</w:t>
            </w:r>
          </w:p>
        </w:tc>
        <w:tc>
          <w:tcPr/>
          <w:p>
            <w:pPr>
              <w:pStyle w:val="Compact"/>
            </w:pPr>
            <w:r>
              <w:t xml:space="preserve">version as used</w:t>
            </w:r>
          </w:p>
        </w:tc>
        <w:tc>
          <w:tcPr/>
          <w:p>
            <w:pPr>
              <w:pStyle w:val="Compact"/>
            </w:pPr>
            <w:r>
              <w:t xml:space="preserve">what it constrains</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paper</w:t>
            </w:r>
            <w:r>
              <w:t xml:space="preserve"> </w:t>
            </w:r>
            <w:r>
              <w:rPr>
                <w:rStyle w:val="VerbatimChar"/>
              </w:rPr>
              <w:t xml:space="preserve">10.1038/s41586-024-08545-z</w:t>
            </w:r>
            <w:r>
              <w:t xml:space="preserve">¹³</w:t>
            </w:r>
          </w:p>
        </w:tc>
        <w:tc>
          <w:tcPr/>
          <w:p>
            <w:pPr>
              <w:pStyle w:val="Compact"/>
            </w:pPr>
            <w:r>
              <w:t xml:space="preserve">The modern glacier rate, spliced onto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¹⁴</w:t>
            </w:r>
          </w:p>
        </w:tc>
        <w:tc>
          <w:tcPr/>
          <w:p>
            <w:pPr>
              <w:pStyle w:val="Compact"/>
            </w:pPr>
            <w:r>
              <w:t xml:space="preserve">Land-water storage, 2019–2023¹⁵.</w:t>
            </w:r>
          </w:p>
        </w:tc>
      </w:tr>
      <w:tr>
        <w:tc>
          <w:tcPr/>
          <w:p>
            <w:pPr>
              <w:pStyle w:val="Compact"/>
            </w:pPr>
            <w:r>
              <w:t xml:space="preserve">Mouginot 2019 Greenland sector shares</w:t>
            </w:r>
          </w:p>
        </w:tc>
        <w:tc>
          <w:tcPr/>
          <w:p>
            <w:pPr>
              <w:pStyle w:val="Compact"/>
            </w:pPr>
            <w:r>
              <w:rPr>
                <w:i/>
                <w:iCs/>
              </w:rPr>
              <w:t xml:space="preserve">PNAS</w:t>
            </w:r>
            <w:r>
              <w:t xml:space="preserve"> </w:t>
            </w:r>
            <w:r>
              <w:t xml:space="preserve">116:9239, Supplementary Dataset S2¹⁶</w:t>
            </w:r>
          </w:p>
        </w:tc>
        <w:tc>
          <w:tcPr/>
          <w:p>
            <w:pPr>
              <w:pStyle w:val="Compact"/>
            </w:pPr>
            <w:r>
              <w:t xml:space="preserve">The basin split, as a shares term rather than a level.</w:t>
            </w:r>
          </w:p>
        </w:tc>
      </w:tr>
      <w:tr>
        <w:tc>
          <w:tcPr/>
          <w:p>
            <w:pPr>
              <w:pStyle w:val="Compact"/>
            </w:pPr>
            <w:r>
              <w:t xml:space="preserve">Rignot 2019 Antarctic SMB</w:t>
            </w:r>
          </w:p>
        </w:tc>
        <w:tc>
          <w:tcPr/>
          <w:p>
            <w:pPr>
              <w:pStyle w:val="Compact"/>
            </w:pPr>
            <w:r>
              <w:rPr>
                <w:i/>
                <w:iCs/>
              </w:rPr>
              <w:t xml:space="preserve">PNAS</w:t>
            </w:r>
            <w:r>
              <w:t xml:space="preserve"> </w:t>
            </w:r>
            <w:r>
              <w:t xml:space="preserve">116:1095; 2098 ± 133 Gt/yr over 1979–2008¹⁷</w:t>
            </w:r>
          </w:p>
        </w:tc>
        <w:tc>
          <w:tcPr/>
          <w:p>
            <w:pPr>
              <w:pStyle w:val="Compact"/>
            </w:pPr>
            <w:r>
              <w:t xml:space="preserve">The absolute Antarctic flux scale.</w:t>
            </w:r>
          </w:p>
        </w:tc>
      </w:tr>
      <w:tr>
        <w:tc>
          <w:tcPr/>
          <w:p>
            <w:pPr>
              <w:pStyle w:val="Compact"/>
            </w:pPr>
            <w:r>
              <w:t xml:space="preserve">Farinotti 2019 glacier inventory</w:t>
            </w:r>
          </w:p>
        </w:tc>
        <w:tc>
          <w:tcPr/>
          <w:p>
            <w:pPr>
              <w:pStyle w:val="Compact"/>
            </w:pPr>
            <w:r>
              <w:rPr>
                <w:i/>
                <w:iCs/>
              </w:rPr>
              <w:t xml:space="preserve">Nat. Geosci.</w:t>
            </w:r>
            <w:r>
              <w:t xml:space="preserve"> </w:t>
            </w:r>
            <w:r>
              <w:t xml:space="preserve">12:168, reconciled per Hock 2023¹⁸</w:t>
            </w:r>
          </w:p>
        </w:tc>
        <w:tc>
          <w:tcPr/>
          <w:p>
            <w:pPr>
              <w:pStyle w:val="Compact"/>
            </w:pPr>
            <w:r>
              <w:t xml:space="preserve">The glacier volume remaining at 2000 (29.0 ± 6.0 cm SLE on Ladrillo's scope).</w:t>
            </w:r>
          </w:p>
        </w:tc>
      </w:tr>
      <w:tr>
        <w:tc>
          <w:tcPr/>
          <w:p>
            <w:pPr>
              <w:pStyle w:val="Compact"/>
            </w:pPr>
            <w:r>
              <w:t xml:space="preserve">Leclercq et al. 2011 19th-century glacier change</w:t>
            </w:r>
          </w:p>
        </w:tc>
        <w:tc>
          <w:tcPr/>
          <w:p>
            <w:pPr>
              <w:pStyle w:val="Compact"/>
            </w:pPr>
            <w:r>
              <w:rPr>
                <w:i/>
                <w:iCs/>
              </w:rPr>
              <w:t xml:space="preserve">Surv. Geophys.</w:t>
            </w:r>
            <w:r>
              <w:t xml:space="preserve"> </w:t>
            </w:r>
            <w:r>
              <w:t xml:space="preserve">32:519, DOI</w:t>
            </w:r>
            <w:r>
              <w:t xml:space="preserve"> </w:t>
            </w:r>
            <w:r>
              <w:rPr>
                <w:rStyle w:val="VerbatimChar"/>
              </w:rPr>
              <w:t xml:space="preserve">10.1007/s10712-011-9121-7</w:t>
            </w:r>
          </w:p>
        </w:tc>
        <w:tc>
          <w:tcPr/>
          <w:p>
            <w:pPr>
              <w:pStyle w:val="Compact"/>
            </w:pPr>
            <w:r>
              <w:t xml:space="preserve">The pre-observational melt,</w:t>
            </w:r>
            <w:r>
              <w:t xml:space="preserve"> </w:t>
            </w:r>
            <w:r>
              <w:rPr>
                <w:rStyle w:val="VerbatimChar"/>
              </w:rPr>
              <w:t xml:space="preserve">S(1900) − S(1850) ~ N(2.0, 0.9)</w:t>
            </w:r>
            <w:r>
              <w:t xml:space="preserve"> </w:t>
            </w:r>
            <w:r>
              <w:t xml:space="preserve">cm SLE.</w:t>
            </w:r>
          </w:p>
        </w:tc>
      </w:tr>
      <w:tr>
        <w:tc>
          <w:tcPr/>
          <w:p>
            <w:pPr>
              <w:pStyle w:val="Compact"/>
            </w:pPr>
            <w:r>
              <w:t xml:space="preserve">GlacierMIP3 equilibrium experiments (Zekollari et al. 2025)</w:t>
            </w:r>
          </w:p>
        </w:tc>
        <w:tc>
          <w:tcPr/>
          <w:p>
            <w:pPr>
              <w:pStyle w:val="Compact"/>
            </w:pPr>
            <w:r>
              <w:rPr>
                <w:i/>
                <w:iCs/>
              </w:rPr>
              <w:t xml:space="preserve">Science</w:t>
            </w:r>
            <w:r>
              <w:t xml:space="preserve">, DOI</w:t>
            </w:r>
            <w:r>
              <w:t xml:space="preserve"> </w:t>
            </w:r>
            <w:r>
              <w:rPr>
                <w:rStyle w:val="VerbatimChar"/>
              </w:rPr>
              <w:t xml:space="preserve">10.1126/science.adu4675</w:t>
            </w:r>
            <w:r>
              <w:t xml:space="preserve">; data</w:t>
            </w:r>
            <w:r>
              <w:t xml:space="preserve"> </w:t>
            </w:r>
            <w:r>
              <w:rPr>
                <w:rStyle w:val="VerbatimChar"/>
              </w:rPr>
              <w:t xml:space="preserve">10.5281/zenodo.15046588</w:t>
            </w:r>
          </w:p>
        </w:tc>
        <w:tc>
          <w:tcPr/>
          <w:p>
            <w:pPr>
              <w:pStyle w:val="Compact"/>
            </w:pPr>
            <w:r>
              <w:t xml:space="preserve">Each glacier block's committed-loss fraction at 1.2–3.0 K and its response-time anchors (a process-model constraint, not an observation).</w:t>
            </w:r>
          </w:p>
        </w:tc>
      </w:tr>
      <w:tr>
        <w:tc>
          <w:tcPr/>
          <w:p>
            <w:pPr>
              <w:pStyle w:val="Compact"/>
            </w:pPr>
            <w:r>
              <w:t xml:space="preserve">CMIP6 regional amplification (34–41 models)</w:t>
            </w:r>
          </w:p>
        </w:tc>
        <w:tc>
          <w:tcPr/>
          <w:p>
            <w:pPr>
              <w:pStyle w:val="Compact"/>
            </w:pPr>
            <w:r>
              <w:t xml:space="preserve">Pangeo/Google-Cloud CMIP6 zarr catalogue¹⁹</w:t>
            </w:r>
          </w:p>
        </w:tc>
        <w:tc>
          <w:tcPr/>
          <w:p>
            <w:pPr>
              <w:pStyle w:val="Compact"/>
            </w:pPr>
            <w:r>
              <w:t xml:space="preserve">Prior on the Antarctic amplification; the warming-dependence and prior width of the Greenland amplification (its level is observed; the glacier amplifications are observation-fitted, CMIP6 a check only).</w:t>
            </w:r>
          </w:p>
        </w:tc>
      </w:tr>
      <w:tr>
        <w:tc>
          <w:tcPr/>
          <w:p>
            <w:pPr>
              <w:pStyle w:val="Compact"/>
            </w:pPr>
            <w:r>
              <w:t xml:space="preserve">DAIS paleo ensemble</w:t>
            </w:r>
          </w:p>
        </w:tc>
        <w:tc>
          <w:tcPr/>
          <w:p>
            <w:pPr>
              <w:pStyle w:val="Compact"/>
            </w:pPr>
            <w:r>
              <w:rPr>
                <w:rStyle w:val="VerbatimChar"/>
              </w:rPr>
              <w:t xml:space="preserve">DAISfastdyn_calibratedParameters_gamma_29Jan2017.nc</w:t>
            </w:r>
            <w:r>
              <w:t xml:space="preserve">, shipped with MimiBRICK²⁰</w:t>
            </w:r>
          </w:p>
        </w:tc>
        <w:tc>
          <w:tcPr/>
          <w:p>
            <w:pPr>
              <w:pStyle w:val="Compact"/>
            </w:pPr>
            <w:r>
              <w:t xml:space="preserve">Joint prior on the seven freed geometry parameters (below).</w:t>
            </w:r>
          </w:p>
        </w:tc>
      </w:tr>
      <w:tr>
        <w:tc>
          <w:tcPr/>
          <w:p>
            <w:pPr>
              <w:pStyle w:val="Compact"/>
            </w:pPr>
            <w:r>
              <w:rPr>
                <w:i/>
                <w:iCs/>
              </w:rPr>
              <w:t xml:space="preserve">(not a calibration target)</w:t>
            </w:r>
            <w:r>
              <w:t xml:space="preserve"> </w:t>
            </w:r>
            <w:r>
              <w:t xml:space="preserve">Dangendorf 2024 GMSL</w:t>
            </w:r>
          </w:p>
        </w:tc>
        <w:tc>
          <w:tcPr/>
          <w:p>
            <w:pPr>
              <w:pStyle w:val="Compact"/>
            </w:pPr>
            <w:r>
              <w:t xml:space="preserve">Zenodo</w:t>
            </w:r>
            <w:r>
              <w:t xml:space="preserve"> </w:t>
            </w:r>
            <w:r>
              <w:rPr>
                <w:rStyle w:val="VerbatimChar"/>
              </w:rPr>
              <w:t xml:space="preserve">10.5281/zenodo.10621070</w:t>
            </w:r>
            <w:r>
              <w:t xml:space="preserve">²¹</w:t>
            </w:r>
          </w:p>
        </w:tc>
        <w:tc>
          <w:tcPr/>
          <w:p>
            <w:pPr>
              <w:pStyle w:val="Compact"/>
            </w:pPr>
            <w:r>
              <w:t xml:space="preserve">The total in FIG 1 and Table 4.</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Forster et al. 2026,</w:t>
            </w:r>
            <w:r>
              <w:t xml:space="preserve"> </w:t>
            </w:r>
            <w:r>
              <w:rPr>
                <w:rStyle w:val="VerbatimChar"/>
              </w:rPr>
              <w:t xml:space="preserve">10.5194/essd-18-3889-2026</w:t>
            </w:r>
            <w:r>
              <w:t xml:space="preserve">²²</w:t>
            </w:r>
          </w:p>
        </w:tc>
        <w:tc>
          <w:tcPr/>
          <w:p>
            <w:pPr>
              <w:pStyle w:val="Compact"/>
            </w:pPr>
            <w:r>
              <w:t xml:space="preserve">An independent consensus check on the total, FIG 1.</w:t>
            </w:r>
          </w:p>
        </w:tc>
      </w:tr>
    </w:tbl>
    <w:p>
      <w:pPr>
        <w:pStyle w:val="BodyText"/>
      </w:pPr>
      <w:r>
        <w:t xml:space="preserve">¹³ Acquired 2026-06-13. ¹⁴ Granule</w:t>
      </w:r>
      <w:r>
        <w:t xml:space="preserve"> </w:t>
      </w:r>
      <w:r>
        <w:rPr>
          <w:rStyle w:val="VerbatimChar"/>
        </w:rPr>
        <w:t xml:space="preserve">200204_202606</w:t>
      </w:r>
      <w:r>
        <w:t xml:space="preserve">. ¹⁵ The 2023 value is held constant through 2026, the end of the calibration window; in projections LWS follows BRICK's stochastic land-water module from 2019. ¹⁶</w:t>
      </w:r>
      <w:r>
        <w:t xml:space="preserve"> </w:t>
      </w:r>
      <w:r>
        <w:rPr>
          <w:rStyle w:val="VerbatimChar"/>
        </w:rPr>
        <w:t xml:space="preserve">pnas.1904242116.sd02.xlsx</w:t>
      </w:r>
      <w:r>
        <w:t xml:space="preserve">, sheet "(2) MB_GIS"; no dataset version is published. ¹⁷ Area-corrected ×0.888; entered as published values. ¹⁸ At the RGI ~2000 outline epoch, entered as published values; region polygons GTN-G Glacier Regions 2023, DOI</w:t>
      </w:r>
      <w:r>
        <w:t xml:space="preserve"> </w:t>
      </w:r>
      <w:r>
        <w:rPr>
          <w:rStyle w:val="VerbatimChar"/>
        </w:rPr>
        <w:t xml:space="preserve">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w:t>
      </w:r>
      <w:r>
        <w:t xml:space="preserve"> </w:t>
      </w:r>
      <w:r>
        <w:rPr>
          <w:rStyle w:val="VerbatimChar"/>
        </w:rPr>
        <w:t xml:space="preserve">0b53b45e2422563b</w:t>
      </w:r>
      <w:r>
        <w:t xml:space="preserve">, extracted 2026-08-24. ²¹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 ²² md5</w:t>
      </w:r>
      <w:r>
        <w:t xml:space="preserve"> </w:t>
      </w:r>
      <w:r>
        <w:rPr>
          <w:rStyle w:val="VerbatimChar"/>
        </w:rPr>
        <w:t xml:space="preserve">8ae5ac0041e26351b9f497f969bd0dab</w:t>
      </w:r>
      <w:r>
        <w:t xml:space="preserve">.</w:t>
      </w:r>
    </w:p>
    <w:p>
      <w:pPr>
        <w:pStyle w:val="BodyText"/>
      </w:pPr>
      <w:r>
        <w:rPr>
          <w:b/>
          <w:bCs/>
        </w:rPr>
        <w:t xml:space="preserve">Deliberately removed: IMBIE, and the total.</w:t>
      </w:r>
      <w:r>
        <w:t xml:space="preserve"> </w:t>
      </w:r>
      <w:r>
        <w:t xml:space="preserve">IMBIE was dropped from the Antarctic likelihood to avoid double-weighting mass-balance information already entering through other terms. The total sea-level series (the CSIRO (Church &amp; White 2011 lineage, 2015 update) reconstruction in BRICK 2.0) was dropped as a likelihood term because RGI 19, the one block with no target of its own, would otherwise absorb the observational budget's non-closure. Ladrillo is therefore fitted to the four component series and the point constraints above only, and the total's hindcast in FIG 1 and Table 4 (Dangendorf 2024) is an out-of-sample check, with the observed land-water storage added.</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bookmarkEnd w:id="12"/>
    <w:bookmarkStart w:id="13" w:name="ladrillo-calibration-approach-updates"/>
    <w:p>
      <w:pPr>
        <w:pStyle w:val="Heading2"/>
      </w:pPr>
      <w:r>
        <w:t xml:space="preserve">Ladrillo Calibration Approach Updates</w:t>
      </w:r>
    </w:p>
    <w:p>
      <w:pPr>
        <w:pStyle w:val="FirstParagraph"/>
      </w:pPr>
      <w:r>
        <w:rPr>
          <w:b/>
          <w:bCs/>
        </w:rPr>
        <w:t xml:space="preserve">Vintage.</w:t>
      </w:r>
      <w:r>
        <w:t xml:space="preserve"> </w:t>
      </w:r>
      <w:r>
        <w:t xml:space="preserve">This document describes posterior L24, calibrated on FaIR 2.2.4 (fair-calibrate 1.6.0). Both hindcast arms are reproducible: every random seed is fixed and is recorded inside the output file read by each figure, so any number in this document can be regenerated precisely.</w:t>
      </w:r>
    </w:p>
    <w:p>
      <w:pPr>
        <w:pStyle w:val="BodyText"/>
      </w:pPr>
      <w:r>
        <w:t xml:space="preserve">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pPr>
        <w:pStyle w:val="BodyText"/>
      </w:pPr>
      <w:r>
        <w:rPr>
          <w:b/>
          <w:bCs/>
        </w:rPr>
        <w:t xml:space="preserve">Discrepancy terms.</w:t>
      </w:r>
      <w:r>
        <w:t xml:space="preserve"> </w:t>
      </w:r>
      <w:r>
        <w:t xml:space="preserve">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because of the FaIR/OHC discrepancy described later. FIG 1 and Table 4 show the bare modules without δ(t), which keeps the comparison with BRICK 2.0, which has no such term, like-for-like.</w:t>
      </w:r>
    </w:p>
    <w:p>
      <w:pPr>
        <w:pStyle w:val="BodyText"/>
      </w:pPr>
      <w:r>
        <w:rPr>
          <w:b/>
          <w:bCs/>
        </w:rPr>
        <w:t xml:space="preserve">Sampler.</w:t>
      </w:r>
      <w:r>
        <w:t xml:space="preserve"> </w:t>
      </w:r>
      <w:r>
        <w:t xml:space="preserve">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w:t>
      </w:r>
      <w:r>
        <w:t xml:space="preserve"> </w:t>
      </w:r>
      <w:r>
        <w:rPr>
          <w:rStyle w:val="VerbatimChar"/>
        </w:rPr>
        <w:t xml:space="preserve">ais_iceflow0</w:t>
      </w:r>
      <w:r>
        <w:t xml:space="preserve">,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pPr>
        <w:pStyle w:val="BodyText"/>
      </w:pPr>
      <w:r>
        <w:rPr>
          <w:b/>
          <w:bCs/>
        </w:rPr>
        <w:t xml:space="preserve">Convergence criterion.</w:t>
      </w:r>
      <w:r>
        <w:t xml:space="preserve"> </w:t>
      </w:r>
      <w:r>
        <w:t xml:space="preserve">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w:t>
      </w:r>
      <w:r>
        <w:t xml:space="preserve"> </w:t>
      </w:r>
      <w:r>
        <w:rPr>
          <w:rStyle w:val="VerbatimChar"/>
        </w:rPr>
        <w:t xml:space="preserve">ais_iceflow0</w:t>
      </w:r>
      <w:r>
        <w:t xml:space="preserve"> </w:t>
      </w:r>
      <w:r>
        <w:t xml:space="preserve">R̂ = 1.26,</w:t>
      </w:r>
      <w:r>
        <w:t xml:space="preserve"> </w:t>
      </w:r>
      <w:r>
        <w:rPr>
          <w:rStyle w:val="VerbatimChar"/>
        </w:rPr>
        <w:t xml:space="preserve">antarctic_alpha</w:t>
      </w:r>
      <w:r>
        <w:t xml:space="preserve"> </w:t>
      </w:r>
      <w:r>
        <w:t xml:space="preserve">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pPr>
        <w:pStyle w:val="BodyText"/>
      </w:pPr>
      <w:r>
        <w:t xml:space="preserve">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pPr>
        <w:pStyle w:val="BodyText"/>
      </w:pPr>
      <w:r>
        <w:t xml:space="preserve">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w:t>
      </w:r>
    </w:p>
    <w:p>
      <w:pPr>
        <w:pStyle w:val="BodyText"/>
      </w:pPr>
      <w:r>
        <w:t xml:space="preserve">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w:t>
      </w:r>
    </w:p>
    <w:p>
      <w:pPr>
        <w:pStyle w:val="BodyText"/>
      </w:pPr>
      <w:r>
        <w:t xml:space="preserve">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pPr>
        <w:pStyle w:val="BodyText"/>
      </w:pPr>
      <w:r>
        <w:t xml:space="preserve">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 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pPr>
        <w:pStyle w:val="BodyText"/>
      </w:pPr>
      <w:r>
        <w:t xml:space="preserve">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The members with the strongest cooling (−1.5 to −2 K) give the largest Greenland melt (up to +343 cm from surface mass balance alone).</w:t>
      </w:r>
    </w:p>
    <w:bookmarkStart w:id="45" w:name="ssp-comparisons"/>
    <w:p>
      <w:pPr>
        <w:pStyle w:val="Heading3"/>
      </w:pPr>
      <w:r>
        <w:t xml:space="preserve">SSP comparisons</w:t>
      </w:r>
    </w:p>
    <w:p>
      <w:pPr>
        <w:pStyle w:val="FirstParagraph"/>
      </w:pPr>
      <w:r>
        <w:t xml:space="preserve">The SSP comparisons have similar results to the van Vuuren comparisons. Because SSP5-8.5 is</w:t>
      </w:r>
    </w:p>
    <w:p>
      <w:pPr>
        <w:pStyle w:val="BodyText"/>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pPr>
        <w:pStyle w:val="BodyText"/>
      </w:pPr>
      <w:r>
        <w:t xml:space="preserve">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0.0105, sd 0.0033 in Ladrillo; 0.0104, 0.0036 in BRICK 2.0),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pPr>
        <w:pStyle w:val="BodyText"/>
      </w:pPr>
      <w:r>
        <w:t xml:space="preserve">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RGI 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2026-09-14T16:12:59Z</dcterms:created>
  <dcterms:modified xsi:type="dcterms:W3CDTF">2026-09-14T16:12:59Z</dcterms:modified>
</cp:coreProperties>
</file>

<file path=docProps/custom.xml><?xml version="1.0" encoding="utf-8"?>
<Properties xmlns="http://schemas.openxmlformats.org/officeDocument/2006/custom-properties" xmlns:vt="http://schemas.openxmlformats.org/officeDocument/2006/docPropsVTypes"/>
</file>