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4.png" ContentType="image/png"/>
  <Override PartName="/word/media/rId39.png" ContentType="image/png"/>
  <Override PartName="/word/media/rId33.png" ContentType="image/png"/>
  <Override PartName="/word/media/rId36.png" ContentType="image/png"/>
  <Override PartName="/word/media/rId18.png" ContentType="image/png"/>
  <Override PartName="/word/media/rId21.png" ContentType="image/png"/>
  <Override PartName="/word/media/rId2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ladrillo-sea-level-rise-emulator"/>
    <w:p>
      <w:pPr>
        <w:pStyle w:val="Heading1"/>
      </w:pPr>
      <w:r>
        <w:t xml:space="preserve">Ladrillo Sea Level Rise Emulator</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compares well relative to the other models and sits in a unique space. Unlike MAGICC, Ladrillo is designed to work with the FaIR model. Unlike FACTS, Ladrillo has a simplified structure. Ladrillo does a good job matching historical observations, with the primary weakness being thermal expansion, though that is inherited from FaIR and does not appear when running with OHC from observation. For future projections, Ladrillo matches physical expectations and is comparable to the other models despite different structural approaches. BRICK's design philosophy is to calibrate on historical data products rather than to emulate projections from process-based models, which is what makes it a line of evidence relatively independent of the large Earth system and ice sheet models. Ladrillo extends that philosophy where the data reach — the Antarctic likelihood now runs from 1900 rather than IMBIE's 1992–2017 window, and Dangendorf, GlaMBIE, GRACE and Mouginot are added — but departs from it for the two parameters described below, both in regimes no observation constrains. Ladrillo is also less independent of MAGICC on glaciers than BRICK 2.0 is, having adopted the Nauels 2017 transient.</w:t>
      </w:r>
    </w:p>
    <w:p>
      <w:pPr>
        <w:pStyle w:val="BodyText"/>
      </w:pPr>
      <w:r>
        <w:t xml:space="preserve">Ladrillo does include a couple of parameters that are not constrained by observations. A Greenland tap triggers above a threshold temperature and is informed by SICOPOLIS. Local temperature amplification relative to global is informed by CMIP6 in addition to historic observations, and is relevant for Antarctic melt.</w:t>
      </w:r>
    </w:p>
    <w:p>
      <w:pPr>
        <w:pStyle w:val="BlockText"/>
      </w:pPr>
      <w:r>
        <w:rPr>
          <w:b/>
          <w:bCs/>
        </w:rPr>
        <w:t xml:space="preserve">Vintage.</w:t>
      </w:r>
      <w:r>
        <w:t xml:space="preserve"> </w:t>
      </w:r>
      <w:r>
        <w:t xml:space="preserve">This document describes posterior L24. Units are cm.</w:t>
      </w:r>
      <w:r>
        <w:t xml:space="preserve"> </w:t>
      </w:r>
      <w:r>
        <w:rPr>
          <w:b/>
          <w:bCs/>
        </w:rPr>
        <w:t xml:space="preserve">Two re-reference windows are in play and they are not interchangeable: the hindcast section (FIG 1, the RMSE table, and the 2024 levels) is re-referenced to 1995–2005, the calibration window; the projection sections are re-referenced to 1995–2014.</w:t>
      </w:r>
      <w:r>
        <w:t xml:space="preserve"> </w:t>
      </w:r>
      <w:r>
        <w:t xml:space="preserve">Model version FaIR 2.2.4 (fair-calibrate 1.6.0). Observational vintages are given in the calibration-data table below. Both hindcast arms are reproducible: every random seed is fixed and is recorded inside the output file each figure reads, so any number here can be regenerated from the artifact alone.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 Mengel-style equilibrium volume</w:t>
      </w:r>
      <w:r>
        <w:t xml:space="preserve"> </w:t>
      </w:r>
      <w:r>
        <w:rPr>
          <w:rStyle w:val="VerbatimChar"/>
        </w:rPr>
        <w:t xml:space="preserve">S_eq</w:t>
      </w:r>
      <w:r>
        <w:t xml:space="preserve"> </w:t>
      </w:r>
      <w:r>
        <w:t xml:space="preserve">driven by a Nauels-ν transient,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R19 — Antarctic and Subantarctic periphery.</w:t>
      </w:r>
      <w:r>
        <w:t xml:space="preserve"> </w:t>
      </w:r>
      <w:r>
        <w:t xml:space="preserve">This block exists because the historical glacier target (Frederikse) assumes zero Antarctic-periphery melt, while the GlaMBIE series spliced in from 2019 onward includes it. Folding R19 into either SLOWP or FAST would leave the model's hindcast scope mismatched. Keeping it separate lets the hindcast be evaluated on SLOWP + FAST while R19 still contributes to projected totals. Its amplification prior (0.72) is also far below the other two, so it is not physically interchangeable with them either. (The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mm, Ladrillo's 63–146 mm.</w:t>
      </w:r>
    </w:p>
    <w:p>
      <w:pPr>
        <w:pStyle w:val="BodyText"/>
      </w:pPr>
      <w:r>
        <w:rPr>
          <w:b/>
          <w:bCs/>
        </w:rPr>
        <w:t xml:space="preserve">Regrowth potential.</w:t>
      </w:r>
      <w:r>
        <w:t xml:space="preserve"> </w:t>
      </w:r>
      <w:r>
        <w:t xml:space="preserve">Neither BRICK nor FACTS can regrow glacial ice, but MAGICC and Ladrillo can. The law is</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Ladrillo replaces that with a two-channel, two-basin sheet.</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 active basin (SW+CW+CE+SE+NW) and a high 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m, τ = 800 yr, onset 4.69 K, two stages, whole-sheet. The tap does not fire until temperatures exceed the onset.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w:t>
      </w:r>
    </w:p>
    <w:p>
      <w:pPr>
        <w:pStyle w:val="BodyText"/>
      </w:pPr>
      <w:r>
        <w:rPr>
          <w:b/>
          <w:bCs/>
        </w:rPr>
        <w:t xml:space="preserve">Compared with BRICK 2.0 and MAGICC.</w:t>
      </w:r>
      <w:r>
        <w:t xml:space="preserve"> </w:t>
      </w:r>
      <w:r>
        <w:t xml:space="preserve">Greenland is the component where the hindcast gain over BRICK 2.0 is largest. MAGICC similarly splits Greenland into SMB and SID and parameterises against SICOPOLIS, but with 17 parameters between the two, of which 9 vary and each of those takes only 4 distinct values.</w:t>
      </w:r>
    </w:p>
    <w:bookmarkEnd w:id="10"/>
    <w:bookmarkEnd w:id="11"/>
    <w:bookmarkStart w:id="12" w:name="ladrillo-calibration-data-updates"/>
    <w:p>
      <w:pPr>
        <w:pStyle w:val="Heading2"/>
      </w:pPr>
      <w:r>
        <w:t xml:space="preserve">Ladrillo Calibration Data Updates</w:t>
      </w:r>
    </w:p>
    <w:p>
      <w:pPr>
        <w:pStyle w:val="FirstParagraph"/>
      </w:pPr>
      <w:r>
        <w:t xml:space="preserve">Additional or replaced observational inputs, relative to BRICK 2.0: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rPr>
                <w:b/>
                <w:bCs/>
              </w:rPr>
              <w:t xml:space="preserve">Dangendorf 2024</w:t>
            </w:r>
            <w:r>
              <w:t xml:space="preserve"> </w:t>
            </w:r>
            <w:r>
              <w:t xml:space="preserve">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w:t>
            </w:r>
            <w:r>
              <w:t xml:space="preserve"> </w:t>
            </w:r>
            <w:r>
              <w:rPr>
                <w:b/>
                <w:bCs/>
              </w:rPr>
              <w:t xml:space="preserve">not</w:t>
            </w:r>
            <w:r>
              <w:t xml:space="preserve"> </w:t>
            </w:r>
            <w:r>
              <w:t xml:space="preserve">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previous GMSL reconstruction.</w:t>
            </w:r>
          </w:p>
        </w:tc>
      </w:tr>
      <w:tr>
        <w:tc>
          <w:tcPr/>
          <w:p>
            <w:pPr>
              <w:pStyle w:val="Compact"/>
            </w:pPr>
            <w:r>
              <w:rPr>
                <w:b/>
                <w:bCs/>
              </w:rPr>
              <w:t xml:space="preserve">GlaMBIE</w:t>
            </w:r>
            <w:r>
              <w:t xml:space="preserve"> </w:t>
            </w:r>
            <w:r>
              <w:t xml:space="preserve">glacier series (2019 onward)</w:t>
            </w:r>
          </w:p>
        </w:tc>
        <w:tc>
          <w:tcPr/>
          <w:p>
            <w:pPr>
              <w:pStyle w:val="Compact"/>
            </w:pPr>
            <w:r>
              <w:t xml:space="preserve">Dataset</w:t>
            </w:r>
            <w:r>
              <w:t xml:space="preserve"> </w:t>
            </w:r>
            <w:r>
              <w:rPr>
                <w:b/>
                <w:bCs/>
              </w:rPr>
              <w:t xml:space="preserve">1.0.0</w:t>
            </w:r>
            <w:r>
              <w:t xml:space="preserve">,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where Frederikse excludes it, which is why R19 is a separate block.</w:t>
            </w:r>
          </w:p>
        </w:tc>
      </w:tr>
      <w:tr>
        <w:tc>
          <w:tcPr/>
          <w:p>
            <w:pPr>
              <w:pStyle w:val="Compact"/>
            </w:pPr>
            <w:r>
              <w:rPr>
                <w:b/>
                <w:bCs/>
              </w:rPr>
              <w:t xml:space="preserve">JPL GRACE / GRACE-FO mascons</w:t>
            </w:r>
          </w:p>
        </w:tc>
        <w:tc>
          <w:tcPr/>
          <w:p>
            <w:pPr>
              <w:pStyle w:val="Compact"/>
            </w:pPr>
            <w:r>
              <w:t xml:space="preserve">Release</w:t>
            </w:r>
            <w:r>
              <w:t xml:space="preserve"> </w:t>
            </w:r>
            <w:r>
              <w:rPr>
                <w:b/>
                <w:bCs/>
              </w:rPr>
              <w:t xml:space="preserve">RL06.3Mv04 CRI</w:t>
            </w:r>
            <w:r>
              <w:t xml:space="preserve">,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w:t>
            </w:r>
            <w:r>
              <w:t xml:space="preserve"> </w:t>
            </w:r>
            <w:r>
              <w:rPr>
                <w:b/>
                <w:bCs/>
              </w:rPr>
              <w:t xml:space="preserve">Real data run 2019–2023</w:t>
            </w:r>
            <w:r>
              <w:t xml:space="preserve">; 2024 is held flat from 2023 (GlaMBIE, which is subtracted, ends 2023) and 2025–2026 are blank. The closure σ</w:t>
            </w:r>
            <w:r>
              <w:t xml:space="preserve"> </w:t>
            </w:r>
            <w:r>
              <w:rPr>
                <w:i/>
                <w:iCs/>
              </w:rPr>
              <w:t xml:space="preserve">is</w:t>
            </w:r>
            <w:r>
              <w:t xml:space="preserve"> </w:t>
            </w:r>
            <w:r>
              <w:t xml:space="preserve">trend-extended to the file horizon — the data are not.</w:t>
            </w:r>
          </w:p>
        </w:tc>
      </w:tr>
      <w:tr>
        <w:tc>
          <w:tcPr/>
          <w:p>
            <w:pPr>
              <w:pStyle w:val="Compact"/>
            </w:pPr>
            <w:r>
              <w:rPr>
                <w:b/>
                <w:bCs/>
              </w:rPr>
              <w:t xml:space="preserve">Mouginot</w:t>
            </w:r>
            <w:r>
              <w:t xml:space="preserve"> </w:t>
            </w:r>
            <w:r>
              <w:t xml:space="preserve">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rPr>
                <w:b/>
                <w:bCs/>
              </w:rPr>
              <w:t xml:space="preserve">Rignot 2019</w:t>
            </w:r>
            <w:r>
              <w:t xml:space="preserve"> </w:t>
            </w:r>
            <w:r>
              <w:t xml:space="preserve">Antarctic SMB, area-corrected ×0.888</w:t>
            </w:r>
          </w:p>
        </w:tc>
        <w:tc>
          <w:tcPr/>
          <w:p>
            <w:pPr>
              <w:pStyle w:val="Compact"/>
            </w:pPr>
            <w:r>
              <w:rPr>
                <w:i/>
                <w:iCs/>
              </w:rPr>
              <w:t xml:space="preserve">PNAS</w:t>
            </w:r>
            <w:r>
              <w:t xml:space="preserve"> </w:t>
            </w:r>
            <w:r>
              <w:t xml:space="preserve">116:1095; 2098 ± 133 Gt/yr over the 1979–2008 climatology.</w:t>
            </w:r>
            <w:r>
              <w:t xml:space="preserve"> </w:t>
            </w:r>
            <w:r>
              <w:rPr>
                <w:b/>
                <w:bCs/>
              </w:rPr>
              <w:t xml:space="preserve">No DOI or dataset version is recorded</w:t>
            </w:r>
            <w:r>
              <w:t xml:space="preserve"> </w:t>
            </w:r>
            <w:r>
              <w:t xml:space="preserve">— the values enter as typed constants, not a data file</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rPr>
                <w:b/>
                <w:bCs/>
              </w:rPr>
              <w:t xml:space="preserve">Glacier inventory</w:t>
            </w:r>
            <w:r>
              <w:t xml:space="preserve"> </w:t>
            </w:r>
            <w:r>
              <w:t xml:space="preserve">likelihood + a 19th-century flow constraint,</w:t>
            </w:r>
            <w:r>
              <w:t xml:space="preserve"> </w:t>
            </w:r>
            <w:r>
              <w:rPr>
                <w:rStyle w:val="VerbatimChar"/>
              </w:rPr>
              <w:t xml:space="preserve">S(1900) − S(1850) ~ N(0.020, 0.009)</w:t>
            </w:r>
            <w:r>
              <w:t xml:space="preserve"> </w:t>
            </w:r>
            <w:r>
              <w:t xml:space="preserve">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w:t>
            </w:r>
            <w:r>
              <w:t xml:space="preserve"> </w:t>
            </w:r>
            <w:r>
              <w:rPr>
                <w:b/>
                <w:bCs/>
              </w:rPr>
              <w:t xml:space="preserve">no DOI or archive version recorded</w:t>
            </w:r>
            <w:r>
              <w:t xml:space="preserve">; region polygons GTN-G Glacier Regions</w:t>
            </w:r>
            <w:r>
              <w:t xml:space="preserve"> </w:t>
            </w:r>
            <w:r>
              <w:rPr>
                <w:b/>
                <w:bCs/>
              </w:rPr>
              <w:t xml:space="preserve">2023</w:t>
            </w:r>
            <w:r>
              <w:t xml:space="preserve">, DOI</w:t>
            </w:r>
            <w:r>
              <w:t xml:space="preserve"> </w:t>
            </w:r>
            <w:r>
              <w:rPr>
                <w:rStyle w:val="VerbatimChar"/>
              </w:rPr>
              <w:t xml:space="preserve">10.5904/gtng-glacreg-2023-07</w:t>
            </w:r>
            <w:r>
              <w:t xml:space="preserve">, on the</w:t>
            </w:r>
            <w:r>
              <w:t xml:space="preserve"> </w:t>
            </w:r>
            <w:r>
              <w:rPr>
                <w:b/>
                <w:bCs/>
              </w:rPr>
              <w:t xml:space="preserve">RGI6</w:t>
            </w:r>
            <w:r>
              <w:t xml:space="preserve"> </w:t>
            </w:r>
            <w:r>
              <w:t xml:space="preserve">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 neither of which the 20th-century transient identifies on its own.</w:t>
            </w:r>
          </w:p>
        </w:tc>
      </w:tr>
      <w:tr>
        <w:tc>
          <w:tcPr/>
          <w:p>
            <w:pPr>
              <w:pStyle w:val="Compact"/>
            </w:pPr>
            <w:r>
              <w:rPr>
                <w:b/>
                <w:bCs/>
              </w:rPr>
              <w:t xml:space="preserve">CMIP6 regional amplification</w:t>
            </w:r>
            <w:r>
              <w:t xml:space="preserve"> </w:t>
            </w:r>
            <w:r>
              <w:t xml:space="preserve">(34–41 models)</w:t>
            </w:r>
          </w:p>
        </w:tc>
        <w:tc>
          <w:tcPr/>
          <w:p>
            <w:pPr>
              <w:pStyle w:val="Compact"/>
            </w:pPr>
            <w:r>
              <w:t xml:space="preserve">Streamed from the live Pangeo/Google-Cloud CMIP6 zarr catalogue.</w:t>
            </w:r>
            <w:r>
              <w:t xml:space="preserve"> </w:t>
            </w:r>
            <w:r>
              <w:rPr>
                <w:b/>
                <w:bCs/>
              </w:rPr>
              <w:t xml:space="preserve">No catalogue snapshot date and no per-model ESGF dataset versions are recorded</w:t>
            </w:r>
            <w:r>
              <w:t xml:space="preserve">; what is pinned is the member ID per model, a fixed 40-model panel so a drifted catalogue cannot swap the ensemble, and a git commit hash in the derived priors</w:t>
            </w:r>
          </w:p>
        </w:tc>
        <w:tc>
          <w:tcPr/>
          <w:p>
            <w:pPr>
              <w:pStyle w:val="Compact"/>
            </w:pPr>
            <w:r>
              <w:t xml:space="preserve">Priors on the per-block glacier amplification and on Antarctic amplification.</w:t>
            </w:r>
          </w:p>
        </w:tc>
      </w:tr>
      <w:tr>
        <w:tc>
          <w:tcPr/>
          <w:p>
            <w:pPr>
              <w:pStyle w:val="Compact"/>
            </w:pPr>
            <w:r>
              <w:rPr>
                <w:b/>
                <w:bCs/>
              </w:rPr>
              <w:t xml:space="preserve">Paleo constraints</w:t>
            </w:r>
            <w:r>
              <w:t xml:space="preserve"> </w:t>
            </w:r>
            <w:r>
              <w:t xml:space="preserve">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rPr>
                <w:b/>
                <w:bCs/>
              </w:rPr>
              <w:t xml:space="preserve">IGCC 2025-indicators</w:t>
            </w:r>
            <w:r>
              <w:t xml:space="preserve"> </w:t>
            </w:r>
            <w:r>
              <w:t xml:space="preserve">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w:t>
            </w:r>
            <w:r>
              <w:t xml:space="preserve"> </w:t>
            </w:r>
            <w:r>
              <w:rPr>
                <w:b/>
                <w:bCs/>
              </w:rPr>
              <w:t xml:space="preserve">independent</w:t>
            </w:r>
            <w:r>
              <w:t xml:space="preserve"> </w:t>
            </w:r>
            <w:r>
              <w:t xml:space="preserve">consensus check on the total. It is</w:t>
            </w:r>
            <w:r>
              <w:t xml:space="preserve"> </w:t>
            </w:r>
            <w:r>
              <w:rPr>
                <w:i/>
                <w:iCs/>
              </w:rPr>
              <w:t xml:space="preserve">not</w:t>
            </w:r>
            <w:r>
              <w:t xml:space="preserve"> </w:t>
            </w:r>
            <w:r>
              <w:t xml:space="preserve">fitted; the fitted total is Dangendorf 2024.</w:t>
            </w:r>
          </w:p>
        </w:tc>
      </w:tr>
    </w:tbl>
    <w:p>
      <w:pPr>
        <w:pStyle w:val="BodyText"/>
      </w:pPr>
      <w:r>
        <w:t xml:space="preserve">Where a cell says a version is not recorded, that is the actual state of the provenance, not an omission from this table: those sources enter the calibration as typed constants or as a live catalogue query, and no version string exists in the repository to cite.</w:t>
      </w:r>
    </w:p>
    <w:p>
      <w:pPr>
        <w:pStyle w:val="BodyText"/>
      </w:pPr>
      <w:r>
        <w:rPr>
          <w:b/>
          <w:bCs/>
        </w:rPr>
        <w:t xml:space="preserve">Deliberately removed: IMBIE</w:t>
      </w:r>
      <w:r>
        <w:t xml:space="preserve">, dropped from the Antarctic likelihood to avoid double-weighting the same mass-balance information already entering through other terms.</w:t>
      </w:r>
    </w:p>
    <w:p>
      <w:pPr>
        <w:pStyle w:val="BodyText"/>
      </w:pPr>
      <w:r>
        <w:rPr>
          <w:b/>
          <w:bCs/>
        </w:rPr>
        <w:t xml:space="preserve">Forcing.</w:t>
      </w:r>
      <w:r>
        <w:t xml:space="preserve"> </w:t>
      </w:r>
      <w:r>
        <w:rPr>
          <w:b/>
          <w:bCs/>
        </w:rPr>
        <w:t xml:space="preserve">FaIR 2.2.4 (fair-calibrate 1.6.0)</w:t>
      </w:r>
      <w:r>
        <w:t xml:space="preserve">, driven by CMIP7 historical emissions 1750–2023 spliced at 2023.5 to MESSAGE-GLOBIOM SSP2-4.5 and harmonized per species. The calibration's own fit window runs to 2026, so its last three years sit on scenario rather than observed forcing — a difference bounded at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rPr>
          <w:b/>
          <w:bCs/>
        </w:rPr>
        <w:t xml:space="preserve">58 parameters are sampled</w:t>
      </w:r>
      <w:r>
        <w:t xml:space="preserve">: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They have not been ablated individually against the hindcast, so no single one is credited here.</w:t>
      </w:r>
    </w:p>
    <w:p>
      <w:pPr>
        <w:pStyle w:val="BodyText"/>
      </w:pPr>
      <w:r>
        <w:rPr>
          <w:b/>
          <w:bCs/>
        </w:rPr>
        <w:t xml:space="preserve">The seven DAIS geometry parameters</w:t>
      </w:r>
      <w:r>
        <w:t xml:space="preserve"> </w:t>
      </w:r>
      <w:r>
        <w:t xml:space="preserve">(</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 1920–1949 bias −0.0096 cm against −1.9579 cm, and 1950–1992 +0.0027 cm against −0.7053 cm. BRICK 2.0 also samples its DAIS geometry; a key difference is the constraint, since its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strongly constrained by observation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where amplification matters.</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1900–2026, against the calibration targets, cm re-referenced to 1995–2005. Both Ladrillo and BRICK 2.0 are integrated from 1850 and plotted from 1900. The total panel also carries IGCC 2025-indicators GMSL (tag</w:t>
      </w:r>
      <w:r>
        <w:t xml:space="preserve"> </w:t>
      </w:r>
      <w:r>
        <w:rPr>
          <w:rStyle w:val="VerbatimChar"/>
        </w:rPr>
        <w:t xml:space="preserve">v2026.06.02</w:t>
      </w:r>
      <w:r>
        <w:t xml:space="preserve">) as an independent consensus check; it is not a calibration target.</w:t>
      </w:r>
    </w:p>
    <w:p>
      <w:pPr>
        <w:pStyle w:val="BodyText"/>
      </w:pPr>
      <w:r>
        <w:t xml:space="preserve">RMSE ratio against BRICK 2.0 —</w:t>
      </w:r>
      <w:r>
        <w:t xml:space="preserve"> </w:t>
      </w:r>
      <w:r>
        <w:rPr>
          <w:b/>
          <w:bCs/>
        </w:rPr>
        <w:t xml:space="preserve">below 1 means Ladrillo is closer to the observations</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0.555</w:t>
            </w:r>
          </w:p>
        </w:tc>
        <w:tc>
          <w:tcPr/>
          <w:p>
            <w:pPr>
              <w:pStyle w:val="Compact"/>
            </w:pPr>
            <w:r>
              <w:rPr>
                <w:b/>
                <w:bCs/>
              </w:rPr>
              <w:t xml:space="preserve">0.018</w:t>
            </w:r>
          </w:p>
        </w:tc>
      </w:tr>
      <w:tr>
        <w:tc>
          <w:tcPr/>
          <w:p>
            <w:pPr>
              <w:pStyle w:val="Compact"/>
            </w:pPr>
            <w:r>
              <w:t xml:space="preserve">Greenland</w:t>
            </w:r>
          </w:p>
        </w:tc>
        <w:tc>
          <w:tcPr/>
          <w:p>
            <w:pPr>
              <w:pStyle w:val="Compact"/>
            </w:pPr>
            <w:r>
              <w:rPr>
                <w:b/>
                <w:bCs/>
              </w:rPr>
              <w:t xml:space="preserve">0.114</w:t>
            </w:r>
          </w:p>
        </w:tc>
        <w:tc>
          <w:tcPr/>
          <w:p>
            <w:pPr>
              <w:pStyle w:val="Compact"/>
            </w:pPr>
            <w:r>
              <w:rPr>
                <w:b/>
                <w:bCs/>
              </w:rPr>
              <w:t xml:space="preserve">0.103</w:t>
            </w:r>
          </w:p>
        </w:tc>
        <w:tc>
          <w:tcPr/>
          <w:p>
            <w:pPr>
              <w:pStyle w:val="Compact"/>
            </w:pPr>
            <w:r>
              <w:rPr>
                <w:b/>
                <w:bCs/>
              </w:rPr>
              <w:t xml:space="preserve">0.054</w:t>
            </w:r>
          </w:p>
        </w:tc>
        <w:tc>
          <w:tcPr/>
          <w:p>
            <w:pPr>
              <w:pStyle w:val="Compact"/>
            </w:pPr>
            <w:r>
              <w:rPr>
                <w:b/>
                <w:bCs/>
              </w:rPr>
              <w:t xml:space="preserve">0.272</w:t>
            </w:r>
          </w:p>
        </w:tc>
        <w:tc>
          <w:tcPr/>
          <w:p>
            <w:pPr>
              <w:pStyle w:val="Compact"/>
            </w:pPr>
            <w:r>
              <w:rPr>
                <w:b/>
                <w:bCs/>
              </w:rPr>
              <w:t xml:space="preserve">0.086</w:t>
            </w:r>
          </w:p>
        </w:tc>
      </w:tr>
      <w:tr>
        <w:tc>
          <w:tcPr/>
          <w:p>
            <w:pPr>
              <w:pStyle w:val="Compact"/>
            </w:pPr>
            <w:r>
              <w:t xml:space="preserve">Glaciers</w:t>
            </w:r>
          </w:p>
        </w:tc>
        <w:tc>
          <w:tcPr/>
          <w:p>
            <w:pPr>
              <w:pStyle w:val="Compact"/>
            </w:pPr>
            <w:r>
              <w:rPr>
                <w:b/>
                <w:bCs/>
              </w:rPr>
              <w:t xml:space="preserve">0.421</w:t>
            </w:r>
          </w:p>
        </w:tc>
        <w:tc>
          <w:tcPr/>
          <w:p>
            <w:pPr>
              <w:pStyle w:val="Compact"/>
            </w:pPr>
            <w:r>
              <w:rPr>
                <w:b/>
                <w:bCs/>
              </w:rPr>
              <w:t xml:space="preserve">0.361</w:t>
            </w:r>
          </w:p>
        </w:tc>
        <w:tc>
          <w:tcPr/>
          <w:p>
            <w:pPr>
              <w:pStyle w:val="Compact"/>
            </w:pPr>
            <w:r>
              <w:t xml:space="preserve">1.027</w:t>
            </w:r>
          </w:p>
        </w:tc>
        <w:tc>
          <w:tcPr/>
          <w:p>
            <w:pPr>
              <w:pStyle w:val="Compact"/>
            </w:pPr>
            <w:r>
              <w:rPr>
                <w:b/>
                <w:bCs/>
              </w:rPr>
              <w:t xml:space="preserve">0.355</w:t>
            </w:r>
          </w:p>
        </w:tc>
        <w:tc>
          <w:tcPr/>
          <w:p>
            <w:pPr>
              <w:pStyle w:val="Compact"/>
            </w:pPr>
            <w:r>
              <w:rPr>
                <w:b/>
                <w:bCs/>
              </w:rPr>
              <w:t xml:space="preserve">0.408</w:t>
            </w:r>
          </w:p>
        </w:tc>
      </w:tr>
      <w:tr>
        <w:tc>
          <w:tcPr/>
          <w:p>
            <w:pPr>
              <w:pStyle w:val="Compact"/>
            </w:pPr>
            <w:r>
              <w:t xml:space="preserve">Thermal expansion</w:t>
            </w:r>
          </w:p>
        </w:tc>
        <w:tc>
          <w:tcPr/>
          <w:p>
            <w:pPr>
              <w:pStyle w:val="Compact"/>
            </w:pPr>
            <w:r>
              <w:t xml:space="preserve">1.653</w:t>
            </w:r>
          </w:p>
        </w:tc>
        <w:tc>
          <w:tcPr/>
          <w:p>
            <w:pPr>
              <w:pStyle w:val="Compact"/>
            </w:pPr>
            <w:r>
              <w:t xml:space="preserve">1.150</w:t>
            </w:r>
          </w:p>
        </w:tc>
        <w:tc>
          <w:tcPr/>
          <w:p>
            <w:pPr>
              <w:pStyle w:val="Compact"/>
            </w:pPr>
            <w:r>
              <w:t xml:space="preserve">1.137</w:t>
            </w:r>
          </w:p>
        </w:tc>
        <w:tc>
          <w:tcPr/>
          <w:p>
            <w:pPr>
              <w:pStyle w:val="Compact"/>
            </w:pPr>
            <w:r>
              <w:t xml:space="preserve">1.462</w:t>
            </w:r>
          </w:p>
        </w:tc>
        <w:tc>
          <w:tcPr/>
          <w:p>
            <w:pPr>
              <w:pStyle w:val="Compact"/>
            </w:pPr>
            <w:r>
              <w:t xml:space="preserve">1.327</w:t>
            </w:r>
          </w:p>
        </w:tc>
      </w:tr>
      <w:tr>
        <w:tc>
          <w:tcPr/>
          <w:p>
            <w:pPr>
              <w:pStyle w:val="Compact"/>
            </w:pPr>
            <w:r>
              <w:rPr>
                <w:b/>
                <w:bCs/>
              </w:rPr>
              <w:t xml:space="preserve">Total</w:t>
            </w:r>
          </w:p>
        </w:tc>
        <w:tc>
          <w:tcPr/>
          <w:p>
            <w:pPr>
              <w:pStyle w:val="Compact"/>
            </w:pPr>
            <w:r>
              <w:rPr>
                <w:b/>
                <w:bCs/>
              </w:rPr>
              <w:t xml:space="preserve">0.687</w:t>
            </w:r>
          </w:p>
        </w:tc>
        <w:tc>
          <w:tcPr/>
          <w:p>
            <w:pPr>
              <w:pStyle w:val="Compact"/>
            </w:pPr>
            <w:r>
              <w:rPr>
                <w:b/>
                <w:bCs/>
              </w:rPr>
              <w:t xml:space="preserve">0.411</w:t>
            </w:r>
          </w:p>
        </w:tc>
        <w:tc>
          <w:tcPr/>
          <w:p>
            <w:pPr>
              <w:pStyle w:val="Compact"/>
            </w:pPr>
            <w:r>
              <w:rPr>
                <w:b/>
                <w:bCs/>
              </w:rPr>
              <w:t xml:space="preserve">0.277</w:t>
            </w:r>
          </w:p>
        </w:tc>
        <w:tc>
          <w:tcPr/>
          <w:p>
            <w:pPr>
              <w:pStyle w:val="Compact"/>
            </w:pPr>
            <w:r>
              <w:t xml:space="preserve">1.121</w:t>
            </w:r>
          </w:p>
        </w:tc>
        <w:tc>
          <w:tcPr/>
          <w:p>
            <w:pPr>
              <w:pStyle w:val="Compact"/>
            </w:pPr>
            <w:r>
              <w:rPr>
                <w:b/>
                <w:bCs/>
              </w:rPr>
              <w:t xml:space="preserve">0.459</w:t>
            </w:r>
          </w:p>
        </w:tc>
      </w:tr>
    </w:tbl>
    <w:p>
      <w:pPr>
        <w:pStyle w:val="BodyText"/>
      </w:pPr>
      <w:r>
        <w:t xml:space="preserve">The 1900–1919 column is new. It was previously unavailable because the BRICK 2.0 driver saved output only from 1920 although it integrates from 1850, and the scorecard scores both arms on their common years — so the truncation, not a scientific choice, set both the earliest window and the "full" column. With the spans matched, the three shared windows are unchanged and only "full" moves.</w:t>
      </w:r>
      <w:r>
        <w:t xml:space="preserve"> </w:t>
      </w:r>
      <w:r>
        <w:rPr>
          <w:b/>
          <w:bCs/>
        </w:rPr>
        <w:t xml:space="preserve">Adding the earliest era does not flatter Ladrillo:</w:t>
      </w:r>
      <w:r>
        <w:t xml:space="preserve"> </w:t>
      </w:r>
      <w:r>
        <w:t xml:space="preserve">its "full" ratio worsens on glaciers (0.372 → 0.408), thermal expansion (1.236 → 1.327) and the total (0.373 → 0.459). ⚠ BRICK 2.0 runs on its own published posterior against our extended targets, so part of its bias is target vintage — a caveat that carries</w:t>
      </w:r>
      <w:r>
        <w:t xml:space="preserve"> </w:t>
      </w:r>
      <w:r>
        <w:rPr>
          <w:i/>
          <w:iCs/>
        </w:rPr>
        <w:t xml:space="preserve">more</w:t>
      </w:r>
      <w:r>
        <w:t xml:space="preserve"> </w:t>
      </w:r>
      <w:r>
        <w:t xml:space="preserve">weight in the earliest, sparsest-observation window than anywhere else.</w:t>
      </w:r>
    </w:p>
    <w:p>
      <w:pPr>
        <w:pStyle w:val="BodyText"/>
      </w:pPr>
      <w:r>
        <w:rPr>
          <w:i/>
          <w:iCs/>
        </w:rPr>
        <w:t xml:space="preserve">Thermal expansion in both models is driven by FaIR's full-depth ocean heat against a 0–2000 m target, so this row measures Ladrillo's fit relative to BRICK 2.0, not absolute accuracy — see the depth-scope discussion below.</w:t>
      </w:r>
    </w:p>
    <w:p>
      <w:pPr>
        <w:pStyle w:val="BodyText"/>
      </w:pPr>
      <w:r>
        <w:t xml:space="preserve">Ladrillo is closer to the observations than BRICK 2.0 on every ice component, particularly in early eras. Cumulative total sea level rise, comparing the 1900–1904 mean with the 2020–2024 mean: observed +21.00 cm, Ladrillo +19.84, BRICK 2.0 +23.49 — Ladrillo undershoots by 1.2 cm, BRICK overshoots by 2.5. (On single-year 1900 and 2024 endpoints, as earlier versions of this document reported over 1920–2024, the same comparison reads +22.16 / +21.19 / +24.53; the five-year end-windows are preferred because a single year of a noisy series is not a level.) Over the shorter, more recent window — the level at 2024 relative to the 1995–2005 calibration baseline — both models still run high, but only slightly: observed +7.81 cm, Ladrillo +8.16 (+0.36), BRICK 2.0 +8.06 (+0.25), with IGCC's independent GMSL estimate the highest of the three at +8.21. Each of those means is taken over the three years 2022–2024, the years for which the observational total exists; averaging the models over the full 2022–2026 window while the observations stop in 2024 previously inflated the Ladrillo figure to +0.74 and the BRICK figure to +0.64, roughly half of each being the window mismatch rather than model bias.</w:t>
      </w:r>
    </w:p>
    <w:p>
      <w:pPr>
        <w:pStyle w:val="BodyText"/>
      </w:pPr>
      <w:r>
        <w:rPr>
          <w:b/>
          <w:bCs/>
        </w:rPr>
        <w:t xml:space="preserve">For thermal expansion Ladrillo overshoots, and the cause is FaIR.</w:t>
      </w:r>
      <w:r>
        <w:t xml:space="preserve"> </w:t>
      </w:r>
      <w:r>
        <w:t xml:space="preserve">In both Ladrillo and BRICK thermal expansion is</w:t>
      </w:r>
      <w:r>
        <w:t xml:space="preserve"> </w:t>
      </w:r>
      <w:r>
        <w:rPr>
          <w:i/>
          <w:iCs/>
        </w:rPr>
        <w:t xml:space="preserve">exactly</w:t>
      </w:r>
      <w:r>
        <w:t xml:space="preserve"> </w:t>
      </w:r>
      <w:r>
        <w:t xml:space="preserve">proportional to the ocean heat they are given. When given the FaIR driver, both models overestimate recent thermal expansion (BRICK 2.0 misses the 1993-2026 thermal expansion rate by 1.17× compared to Ladrillo's 1.27×). However, when using observed OHC Ladrillo reproduces steric changes within 4% at every era. Roughly half the apparent miss is depth scope: FaIR's ocean heat is full-depth while the steric target is 0–2000 m, and correcting on IGCC's own &gt;2000 m layer narrows the 1993–2026 rate ratio from 1.27× to as little as 1.15× — an upper bound on the correction, not a point estimate, since deep water expands less per joule than the heat ratio implies, and the cell is still a FAIL even at that bound. A depth-resolved coefficient was tested and failed, though that may reflect observational uncertainty — Cheng and IGCC disagree by ~50% on 1950–1993 ocean heat gain.</w:t>
      </w:r>
    </w:p>
    <w:bookmarkEnd w:id="17"/>
    <w:bookmarkStart w:id="45" w:name="ladrillo-projection-comparison"/>
    <w:p>
      <w:pPr>
        <w:pStyle w:val="Heading2"/>
      </w:pPr>
      <w:r>
        <w:t xml:space="preserve">Ladrillo Projection Comparison</w:t>
      </w:r>
    </w:p>
    <w:p>
      <w:pPr>
        <w:pStyle w:val="FirstParagraph"/>
      </w:pPr>
      <w:r>
        <w:t xml:space="preserve">The van Vuuren markers are the</w:t>
      </w:r>
      <w:r>
        <w:t xml:space="preserve"> </w:t>
      </w:r>
      <w:r>
        <w:rPr>
          <w:b/>
          <w:bCs/>
        </w:rPr>
        <w:t xml:space="preserve">primary</w:t>
      </w:r>
      <w:r>
        <w:t xml:space="preserve"> </w:t>
      </w:r>
      <w:r>
        <w:t xml:space="preserve">comparison; the SSPs are a secondary set and the control, being the only scenarios with a prior result to check the pipeline against. All Ladrillo bands are the</w:t>
      </w:r>
      <w:r>
        <w:t xml:space="preserve"> </w:t>
      </w:r>
      <w:r>
        <w:rPr>
          <w:b/>
          <w:bCs/>
        </w:rPr>
        <w:t xml:space="preserve">joint</w:t>
      </w:r>
      <w:r>
        <w:t xml:space="preserve"> </w:t>
      </w:r>
      <w:r>
        <w:t xml:space="preserve">(posterior × FaIR-forcing) arm, width-comparable to MAGICC and FACTS; BRICK 2.0's joint band uses the same cubes, splice pivot and pair seed.</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w:t>
      </w:r>
      <w:r>
        <w:t xml:space="preserve"> </w:t>
      </w:r>
      <w:r>
        <w:rPr>
          <w:b/>
          <w:bCs/>
        </w:rPr>
        <w:t xml:space="preserve">2100</w:t>
      </w:r>
      <w:r>
        <w:t xml:space="preserve">, by component.</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w:t>
      </w:r>
      <w:r>
        <w:t xml:space="preserve"> </w:t>
      </w:r>
      <w:r>
        <w:rPr>
          <w:b/>
          <w:bCs/>
        </w:rPr>
        <w:t xml:space="preserve">2150</w:t>
      </w:r>
      <w:r>
        <w:t xml:space="preserve">.</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w:t>
      </w:r>
      <w:r>
        <w:t xml:space="preserve"> </w:t>
      </w:r>
      <w:r>
        <w:rPr>
          <w:b/>
          <w:bCs/>
        </w:rPr>
        <w:t xml:space="preserve">2300</w:t>
      </w:r>
      <w:r>
        <w:t xml:space="preserve">.</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w:t>
      </w:r>
    </w:p>
    <w:p>
      <w:pPr>
        <w:pStyle w:val="BodyText"/>
      </w:pPr>
      <w:r>
        <w:drawing>
          <wp:inline>
            <wp:extent cx="5334000" cy="5009269"/>
            <wp:effectExtent b="0" l="0" r="0" t="0"/>
            <wp:docPr descr="Glacier response on the declining markers" title="" id="31" name="Picture"/>
            <a:graphic>
              <a:graphicData uri="http://schemas.openxmlformats.org/drawingml/2006/picture">
                <pic:pic>
                  <pic:nvPicPr>
                    <pic:cNvPr descr="figures/vv_gsic_wr_vs_ladrillo_2300.png" id="32" name="Picture"/>
                    <pic:cNvPicPr>
                      <a:picLocks noChangeArrowheads="1" noChangeAspect="1"/>
                    </pic:cNvPicPr>
                  </pic:nvPicPr>
                  <pic:blipFill>
                    <a:blip r:embed="rId30"/>
                    <a:stretch>
                      <a:fillRect/>
                    </a:stretch>
                  </pic:blipFill>
                  <pic:spPr bwMode="auto">
                    <a:xfrm>
                      <a:off x="0" y="0"/>
                      <a:ext cx="5334000" cy="5009269"/>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Glacier contribution over time, comparing Ladrillo to BRICK2.0. This is where glacier regrowth is visible in Ladrillo for overshoot scenarios, whereas the Wigley-Raper formulation continues melting.</w:t>
      </w:r>
    </w:p>
    <w:bookmarkStart w:id="42" w:name="secondary-the-ssps"/>
    <w:p>
      <w:pPr>
        <w:pStyle w:val="Heading3"/>
      </w:pPr>
      <w:r>
        <w:t xml:space="preserve">Secondary: the SSPs</w:t>
      </w:r>
    </w:p>
    <w:p>
      <w:pPr>
        <w:pStyle w:val="FirstParagraph"/>
      </w:pPr>
      <w:r>
        <w:drawing>
          <wp:inline>
            <wp:extent cx="5334000" cy="3090041"/>
            <wp:effectExtent b="0" l="0" r="0" t="0"/>
            <wp:docPr descr="Component comparison at 2100" title="" id="34" name="Picture"/>
            <a:graphic>
              <a:graphicData uri="http://schemas.openxmlformats.org/drawingml/2006/picture">
                <pic:pic>
                  <pic:nvPicPr>
                    <pic:cNvPr descr="figures/model_comparison_components_L24_2100.png" id="35" name="Picture"/>
                    <pic:cNvPicPr>
                      <a:picLocks noChangeArrowheads="1" noChangeAspect="1"/>
                    </pic:cNvPicPr>
                  </pic:nvPicPr>
                  <pic:blipFill>
                    <a:blip r:embed="rId33"/>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The SSP comparison at</w:t>
      </w:r>
      <w:r>
        <w:t xml:space="preserve"> </w:t>
      </w:r>
      <w:r>
        <w:rPr>
          <w:b/>
          <w:bCs/>
        </w:rPr>
        <w:t xml:space="preserve">2100</w:t>
      </w:r>
      <w:r>
        <w:t xml:space="preserve">.</w:t>
      </w:r>
    </w:p>
    <w:p>
      <w:pPr>
        <w:pStyle w:val="BodyText"/>
      </w:pPr>
      <w:r>
        <w:drawing>
          <wp:inline>
            <wp:extent cx="5334000" cy="3090041"/>
            <wp:effectExtent b="0" l="0" r="0" t="0"/>
            <wp:docPr descr="Component comparison at 2300" title="" id="37" name="Picture"/>
            <a:graphic>
              <a:graphicData uri="http://schemas.openxmlformats.org/drawingml/2006/picture">
                <pic:pic>
                  <pic:nvPicPr>
                    <pic:cNvPr descr="figures/model_comparison_components_L24_23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w:t>
      </w:r>
      <w:r>
        <w:t xml:space="preserve"> </w:t>
      </w:r>
      <w:r>
        <w:rPr>
          <w:b/>
          <w:bCs/>
        </w:rPr>
        <w:t xml:space="preserve">2300</w:t>
      </w:r>
      <w:r>
        <w:t xml:space="preserve">, where only MAGICC-SLR and BRICK 2.0 extend.</w:t>
      </w:r>
    </w:p>
    <w:p>
      <w:pPr>
        <w:pStyle w:val="BodyText"/>
      </w:pPr>
      <w:r>
        <w:drawing>
          <wp:inline>
            <wp:extent cx="5334000" cy="2133600"/>
            <wp:effectExtent b="0" l="0" r="0" t="0"/>
            <wp:docPr descr="Total sea level by SSP" title="" id="40" name="Picture"/>
            <a:graphic>
              <a:graphicData uri="http://schemas.openxmlformats.org/drawingml/2006/picture">
                <pic:pic>
                  <pic:nvPicPr>
                    <pic:cNvPr descr="figures/ladrillo_L24_fig2_ssp_total.png" id="41"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Total sea level by SSP, Ladrillo L24 joint band. Totals at 2300:</w:t>
      </w:r>
      <w:r>
        <w:t xml:space="preserve"> </w:t>
      </w:r>
      <w:r>
        <w:rPr>
          <w:b/>
          <w:bCs/>
        </w:rPr>
        <w:t xml:space="preserve">72.6 cm</w:t>
      </w:r>
      <w:r>
        <w:t xml:space="preserve"> </w:t>
      </w:r>
      <w:r>
        <w:t xml:space="preserve">(SSP1-2.6),</w:t>
      </w:r>
      <w:r>
        <w:t xml:space="preserve"> </w:t>
      </w:r>
      <w:r>
        <w:rPr>
          <w:b/>
          <w:bCs/>
        </w:rPr>
        <w:t xml:space="preserve">249.2 cm</w:t>
      </w:r>
      <w:r>
        <w:t xml:space="preserve"> </w:t>
      </w:r>
      <w:r>
        <w:t xml:space="preserve">(SSP2-4.5),</w:t>
      </w:r>
      <w:r>
        <w:t xml:space="preserve"> </w:t>
      </w:r>
      <w:r>
        <w:rPr>
          <w:b/>
          <w:bCs/>
        </w:rPr>
        <w:t xml:space="preserve">516.7 cm</w:t>
      </w:r>
      <w:r>
        <w:t xml:space="preserve"> </w:t>
      </w:r>
      <w:r>
        <w:t xml:space="preserve">(SSP5-8.5).</w:t>
      </w:r>
    </w:p>
    <w:bookmarkEnd w:id="42"/>
    <w:bookmarkStart w:id="43"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was therefore re-run on MAGICC's climate to test which differences were due to sea level module versus climate module.</w:t>
      </w:r>
    </w:p>
    <w:bookmarkEnd w:id="43"/>
    <w:bookmarkStart w:id="44" w:name="X24c92579f6713723bf9ed7066aed63ccd1e3f3f"/>
    <w:p>
      <w:pPr>
        <w:pStyle w:val="Heading3"/>
      </w:pPr>
      <w:r>
        <w:t xml:space="preserve">Physical intuition — how Ladrillo behaves by scenario class</w:t>
      </w:r>
    </w:p>
    <w:p>
      <w:pPr>
        <w:pStyle w:val="FirstParagraph"/>
      </w:pPr>
      <w:r>
        <w:rPr>
          <w:b/>
          <w:bCs/>
        </w:rPr>
        <w:t xml:space="preserve">High scenarios.</w:t>
      </w:r>
      <w:r>
        <w:t xml:space="preserve"> </w:t>
      </w:r>
      <w:r>
        <w:t xml:space="preserve">Ladrillo is comparable to the other models at 2100. By 2300 it separates upward from BRICK 2.0 (due largely to Antarctic threshold behavior) but stays below MAGICC-SLR's steeper rise (439 cm vs. 570 cm, median). Its 2300 spread is dominated by the prior for</w:t>
      </w:r>
      <w:r>
        <w:t xml:space="preserve"> </w:t>
      </w:r>
      <w:r>
        <w:rPr>
          <w:rStyle w:val="VerbatimChar"/>
        </w:rPr>
        <w:t xml:space="preserve">antarctic_lambda</w:t>
      </w:r>
      <w:r>
        <w:t xml:space="preserve">.</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and FACTS's 148. On spread it is narrower than both BRICK 2.0 and FACTS on every component; MAGICC-SLR is the narrow outlier throughout (2300 total 5–95% width 67 cm against Ladrillo's 163, BRICK 2.0's 182 and FACTS's 259), and it is only against MAGICC-SLR that Ladrillo's Antarctic and thermal-expansion bands are the wider ones.</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(the SLOWP and R19 regions have long timescales of ~275 yr and ~465 yr) this rate effect is compounded by an equilibrium effect.</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4" Target="media/rId14.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2026-09-10T17:57:28Z</dcterms:created>
  <dcterms:modified xsi:type="dcterms:W3CDTF">2026-09-10T17:57:28Z</dcterms:modified>
</cp:coreProperties>
</file>

<file path=docProps/custom.xml><?xml version="1.0" encoding="utf-8"?>
<Properties xmlns="http://schemas.openxmlformats.org/officeDocument/2006/custom-properties" xmlns:vt="http://schemas.openxmlformats.org/officeDocument/2006/docPropsVTypes"/>
</file>