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models which both runs 1900-2300 and matches observed total sea level.</w:t>
      </w:r>
    </w:p>
    <w:p>
      <w:pPr>
        <w:pStyle w:val="BodyText"/>
      </w:pPr>
      <w:r>
        <w:t xml:space="preserve">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one place that observations cannot inform, namely a Greenland commitment above a threshold, informed by SICOPOLIS. Ladrillo also extended some of BRICK’s observational constraints (an Antarctic likelihood from 1900 rather than IMBIE's 1992–2017; Dangendorf,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the glacier committed-loss curves and response-time anchors (GlacierMIP3) and the Antarctic amplification prior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Units and baselines.</w:t>
      </w:r>
      <w:r>
        <w:t xml:space="preserve"> </w:t>
      </w:r>
      <w:r>
        <w:t xml:space="preserve">Units are cm. Two baseline windows are used: 1995–2005 for the hindcast section (FIG 1, the RMSE table, and the 2024 levels); and 1995–2014 for the projection sections.</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Its amplification prior (0.72) is also far below the other two, which is another reason to separate this region. Its only direct sea-level observation is GlaMBIE's own estimate of the region's 2000–2024 mean rate (0.049 ± 0.116 mm/yr, weak by construction: no gravimetry separates the periphery from the ice sheet), and the Farinotti inventory fixes its volume; its committed-loss curve and response time therefore rest on the GlacierMIP3 constraints that all three blocks share (the committed-loss fractions at 1.2, 1.5, 2.0 and 3.0 K and the response-time anchors at 1.5 and 3.0 K; Zekollari et al. 2025), which is why its response time is the least constrained in the model (80–3200 yr across the posterior, see the peak-and-decline discussion below).</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w:t>
      </w:r>
    </w:p>
    <w:p>
      <w:pPr>
        <w:pStyle w:val="BodyText"/>
      </w:pPr>
      <w:r>
        <w:t xml:space="preserve">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(50 year relaxation and present-day temperatures) and outlet/dynamic discharge (170 year relaxation).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raise Greenland by an additional 1 cm (SSP1-2.6, 2300) to 9 cm (SSP5-8.5, 2300) on the fixed-driver arm.</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two stages, whole-sheet. It has zero effect below the threshold.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 Without it, Greenland's SSP5-8.5 to SSP2-4.5 ratio at 2300 is 2.6,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w:t>
      </w:r>
    </w:p>
    <w:p>
      <w:pPr>
        <w:pStyle w:val="BodyText"/>
      </w:pPr>
      <w:r>
        <w:t xml:space="preserve">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Calibration inputs added or replaced relative to BRICK 2.0, with the version of each as used, and the two total-sea-level series the hindcast is compared against but not fitted to.</w:t>
      </w:r>
    </w:p>
    <w:tbl>
      <w:tblPr>
        <w:tblStyle w:val="Table"/>
        <w:tblW w:type="pct" w:w="5000"/>
        <w:tblLayout w:type="fixed"/>
        <w:tblLook w:firstRow="1" w:lastRow="0" w:firstColumn="0" w:lastColumn="0" w:noHBand="0" w:noVBand="0" w:val="0020"/>
      </w:tblPr>
      <w:tblGrid>
        <w:gridCol w:w="1821"/>
        <w:gridCol w:w="2930"/>
        <w:gridCol w:w="3168"/>
      </w:tblGrid>
      <w:tr>
        <w:trPr>
          <w:tblHeader w:val="on"/>
        </w:trPr>
        <w:tc>
          <w:tcPr/>
          <w:p>
            <w:pPr>
              <w:pStyle w:val="Compact"/>
            </w:pPr>
            <w:r>
              <w:t xml:space="preserve">data source</w:t>
            </w:r>
          </w:p>
        </w:tc>
        <w:tc>
          <w:tcPr/>
          <w:p>
            <w:pPr>
              <w:pStyle w:val="Compact"/>
            </w:pPr>
            <w:r>
              <w:t xml:space="preserve">version as used</w:t>
            </w:r>
          </w:p>
        </w:tc>
        <w:tc>
          <w:tcPr/>
          <w:p>
            <w:pPr>
              <w:pStyle w:val="Compact"/>
            </w:pPr>
            <w:r>
              <w:t xml:space="preserve">what it constrains</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paper</w:t>
            </w:r>
            <w:r>
              <w:t xml:space="preserve"> </w:t>
            </w:r>
            <w:r>
              <w:rPr>
                <w:rStyle w:val="VerbatimChar"/>
              </w:rPr>
              <w:t xml:space="preserve">10.1038/s41586-024-08545-z</w:t>
            </w:r>
            <w:r>
              <w:t xml:space="preserve">¹³</w:t>
            </w:r>
          </w:p>
        </w:tc>
        <w:tc>
          <w:tcPr/>
          <w:p>
            <w:pPr>
              <w:pStyle w:val="Compact"/>
            </w:pPr>
            <w:r>
              <w:t xml:space="preserve">The modern glacier rate, spliced onto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¹⁴</w:t>
            </w:r>
          </w:p>
        </w:tc>
        <w:tc>
          <w:tcPr/>
          <w:p>
            <w:pPr>
              <w:pStyle w:val="Compact"/>
            </w:pPr>
            <w:r>
              <w:t xml:space="preserve">Land-water storage, 2019–2023¹⁵.</w:t>
            </w:r>
          </w:p>
        </w:tc>
      </w:tr>
      <w:tr>
        <w:tc>
          <w:tcPr/>
          <w:p>
            <w:pPr>
              <w:pStyle w:val="Compact"/>
            </w:pPr>
            <w:r>
              <w:t xml:space="preserve">Mouginot 2019 Greenland sector shares</w:t>
            </w:r>
          </w:p>
        </w:tc>
        <w:tc>
          <w:tcPr/>
          <w:p>
            <w:pPr>
              <w:pStyle w:val="Compact"/>
            </w:pPr>
            <w:r>
              <w:rPr>
                <w:i/>
                <w:iCs/>
              </w:rPr>
              <w:t xml:space="preserve">PNAS</w:t>
            </w:r>
            <w:r>
              <w:t xml:space="preserve"> </w:t>
            </w:r>
            <w:r>
              <w:t xml:space="preserve">116:9239, Supplementary Dataset S2¹⁶</w:t>
            </w:r>
          </w:p>
        </w:tc>
        <w:tc>
          <w:tcPr/>
          <w:p>
            <w:pPr>
              <w:pStyle w:val="Compact"/>
            </w:pPr>
            <w:r>
              <w:t xml:space="preserve">The basin split, as a shares term rather than a level.</w:t>
            </w:r>
          </w:p>
        </w:tc>
      </w:tr>
      <w:tr>
        <w:tc>
          <w:tcPr/>
          <w:p>
            <w:pPr>
              <w:pStyle w:val="Compact"/>
            </w:pPr>
            <w:r>
              <w:t xml:space="preserve">Rignot 2019 Antarctic SMB</w:t>
            </w:r>
          </w:p>
        </w:tc>
        <w:tc>
          <w:tcPr/>
          <w:p>
            <w:pPr>
              <w:pStyle w:val="Compact"/>
            </w:pPr>
            <w:r>
              <w:rPr>
                <w:i/>
                <w:iCs/>
              </w:rPr>
              <w:t xml:space="preserve">PNAS</w:t>
            </w:r>
            <w:r>
              <w:t xml:space="preserve"> </w:t>
            </w:r>
            <w:r>
              <w:t xml:space="preserve">116:1095; 2098 ± 133 Gt/yr over 1979–2008¹⁷</w:t>
            </w:r>
          </w:p>
        </w:tc>
        <w:tc>
          <w:tcPr/>
          <w:p>
            <w:pPr>
              <w:pStyle w:val="Compact"/>
            </w:pPr>
            <w:r>
              <w:t xml:space="preserve">The absolute Antarctic flux scale.</w:t>
            </w:r>
          </w:p>
        </w:tc>
      </w:tr>
      <w:tr>
        <w:tc>
          <w:tcPr/>
          <w:p>
            <w:pPr>
              <w:pStyle w:val="Compact"/>
            </w:pPr>
            <w:r>
              <w:t xml:space="preserve">Farinotti 2019 glacier inventory</w:t>
            </w:r>
          </w:p>
        </w:tc>
        <w:tc>
          <w:tcPr/>
          <w:p>
            <w:pPr>
              <w:pStyle w:val="Compact"/>
            </w:pPr>
            <w:r>
              <w:rPr>
                <w:i/>
                <w:iCs/>
              </w:rPr>
              <w:t xml:space="preserve">Nat. Geosci.</w:t>
            </w:r>
            <w:r>
              <w:t xml:space="preserve"> </w:t>
            </w:r>
            <w:r>
              <w:t xml:space="preserve">12:168, reconciled per Hock 2023¹⁸</w:t>
            </w:r>
          </w:p>
        </w:tc>
        <w:tc>
          <w:tcPr/>
          <w:p>
            <w:pPr>
              <w:pStyle w:val="Compact"/>
            </w:pPr>
            <w:r>
              <w:t xml:space="preserve">The glacier volume remaining at 2000 (29.0 ± 6.0 cm SLE on Ladrillo's scope).</w:t>
            </w:r>
          </w:p>
        </w:tc>
      </w:tr>
      <w:tr>
        <w:tc>
          <w:tcPr/>
          <w:p>
            <w:pPr>
              <w:pStyle w:val="Compact"/>
            </w:pPr>
            <w:r>
              <w:t xml:space="preserve">Leclercq et al. 2011 19th-century glacier change</w:t>
            </w:r>
          </w:p>
        </w:tc>
        <w:tc>
          <w:tcPr/>
          <w:p>
            <w:pPr>
              <w:pStyle w:val="Compact"/>
            </w:pPr>
            <w:r>
              <w:rPr>
                <w:i/>
                <w:iCs/>
              </w:rPr>
              <w:t xml:space="preserve">Surv. Geophys.</w:t>
            </w:r>
            <w:r>
              <w:t xml:space="preserve"> </w:t>
            </w:r>
            <w:r>
              <w:t xml:space="preserve">32:519, DOI</w:t>
            </w:r>
            <w:r>
              <w:t xml:space="preserve"> </w:t>
            </w:r>
            <w:r>
              <w:rPr>
                <w:rStyle w:val="VerbatimChar"/>
              </w:rPr>
              <w:t xml:space="preserve">10.1007/s10712-011-9121-7</w:t>
            </w:r>
          </w:p>
        </w:tc>
        <w:tc>
          <w:tcPr/>
          <w:p>
            <w:pPr>
              <w:pStyle w:val="Compact"/>
            </w:pPr>
            <w:r>
              <w:t xml:space="preserve">The pre-observational melt,</w:t>
            </w:r>
            <w:r>
              <w:t xml:space="preserve"> </w:t>
            </w:r>
            <w:r>
              <w:rPr>
                <w:rStyle w:val="VerbatimChar"/>
              </w:rPr>
              <w:t xml:space="preserve">S(1900) − S(1850) ~ N(2.0, 0.9)</w:t>
            </w:r>
            <w:r>
              <w:t xml:space="preserve"> </w:t>
            </w:r>
            <w:r>
              <w:t xml:space="preserve">cm SLE.</w:t>
            </w:r>
          </w:p>
        </w:tc>
      </w:tr>
      <w:tr>
        <w:tc>
          <w:tcPr/>
          <w:p>
            <w:pPr>
              <w:pStyle w:val="Compact"/>
            </w:pPr>
            <w:r>
              <w:t xml:space="preserve">GlacierMIP3 equilibrium experiments (Zekollari et al. 2025)</w:t>
            </w:r>
          </w:p>
        </w:tc>
        <w:tc>
          <w:tcPr/>
          <w:p>
            <w:pPr>
              <w:pStyle w:val="Compact"/>
            </w:pPr>
            <w:r>
              <w:rPr>
                <w:i/>
                <w:iCs/>
              </w:rPr>
              <w:t xml:space="preserve">Science</w:t>
            </w:r>
            <w:r>
              <w:t xml:space="preserve">, DOI</w:t>
            </w:r>
            <w:r>
              <w:t xml:space="preserve"> </w:t>
            </w:r>
            <w:r>
              <w:rPr>
                <w:rStyle w:val="VerbatimChar"/>
              </w:rPr>
              <w:t xml:space="preserve">10.1126/science.adu4675</w:t>
            </w:r>
            <w:r>
              <w:t xml:space="preserve">; data</w:t>
            </w:r>
            <w:r>
              <w:t xml:space="preserve"> </w:t>
            </w:r>
            <w:r>
              <w:rPr>
                <w:rStyle w:val="VerbatimChar"/>
              </w:rPr>
              <w:t xml:space="preserve">10.5281/zenodo.15046588</w:t>
            </w:r>
          </w:p>
        </w:tc>
        <w:tc>
          <w:tcPr/>
          <w:p>
            <w:pPr>
              <w:pStyle w:val="Compact"/>
            </w:pPr>
            <w:r>
              <w:t xml:space="preserve">Each glacier block's committed-loss fraction at 1.2–3.0 K and its response-time anchors (a process-model constraint, not an observation).</w:t>
            </w:r>
          </w:p>
        </w:tc>
      </w:tr>
      <w:tr>
        <w:tc>
          <w:tcPr/>
          <w:p>
            <w:pPr>
              <w:pStyle w:val="Compact"/>
            </w:pPr>
            <w:r>
              <w:t xml:space="preserve">CMIP6 regional amplification (34–41 models)</w:t>
            </w:r>
          </w:p>
        </w:tc>
        <w:tc>
          <w:tcPr/>
          <w:p>
            <w:pPr>
              <w:pStyle w:val="Compact"/>
            </w:pPr>
            <w:r>
              <w:t xml:space="preserve">Pangeo/Google-Cloud CMIP6 zarr catalogue¹⁹</w:t>
            </w:r>
          </w:p>
        </w:tc>
        <w:tc>
          <w:tcPr/>
          <w:p>
            <w:pPr>
              <w:pStyle w:val="Compact"/>
            </w:pPr>
            <w:r>
              <w:t xml:space="preserve">Prior on the Antarctic amplification; the warming-dependence and prior width of the Greenland amplification (its level is observed; the glacier amplifications are observation-fitted, CMIP6 a check only).</w:t>
            </w:r>
          </w:p>
        </w:tc>
      </w:tr>
      <w:tr>
        <w:tc>
          <w:tcPr/>
          <w:p>
            <w:pPr>
              <w:pStyle w:val="Compact"/>
            </w:pPr>
            <w:r>
              <w:t xml:space="preserve">DAIS paleo ensemble</w:t>
            </w:r>
          </w:p>
        </w:tc>
        <w:tc>
          <w:tcPr/>
          <w:p>
            <w:pPr>
              <w:pStyle w:val="Compact"/>
            </w:pPr>
            <w:r>
              <w:rPr>
                <w:rStyle w:val="VerbatimChar"/>
              </w:rPr>
              <w:t xml:space="preserve">DAISfastdyn_calibratedParameters_gamma_29Jan2017.nc</w:t>
            </w:r>
            <w:r>
              <w:t xml:space="preserve">, shipped with MimiBRICK²⁰</w:t>
            </w:r>
          </w:p>
        </w:tc>
        <w:tc>
          <w:tcPr/>
          <w:p>
            <w:pPr>
              <w:pStyle w:val="Compact"/>
            </w:pPr>
            <w:r>
              <w:t xml:space="preserve">Joint prior on the seven freed geometry parameters (below).</w:t>
            </w:r>
          </w:p>
        </w:tc>
      </w:tr>
      <w:tr>
        <w:tc>
          <w:tcPr/>
          <w:p>
            <w:pPr>
              <w:pStyle w:val="Compact"/>
            </w:pPr>
            <w:r>
              <w:rPr>
                <w:i/>
                <w:iCs/>
              </w:rPr>
              <w:t xml:space="preserve">(not a calibration target)</w:t>
            </w:r>
            <w:r>
              <w:t xml:space="preserve"> </w:t>
            </w:r>
            <w:r>
              <w:t xml:space="preserve">Dangendorf 2024 GMSL</w:t>
            </w:r>
          </w:p>
        </w:tc>
        <w:tc>
          <w:tcPr/>
          <w:p>
            <w:pPr>
              <w:pStyle w:val="Compact"/>
            </w:pPr>
            <w:r>
              <w:t xml:space="preserve">Zenodo</w:t>
            </w:r>
            <w:r>
              <w:t xml:space="preserve"> </w:t>
            </w:r>
            <w:r>
              <w:rPr>
                <w:rStyle w:val="VerbatimChar"/>
              </w:rPr>
              <w:t xml:space="preserve">10.5281/zenodo.10621070</w:t>
            </w:r>
            <w:r>
              <w:t xml:space="preserve">²¹</w:t>
            </w:r>
          </w:p>
        </w:tc>
        <w:tc>
          <w:tcPr/>
          <w:p>
            <w:pPr>
              <w:pStyle w:val="Compact"/>
            </w:pPr>
            <w:r>
              <w:t xml:space="preserve">The total in FIG 1 and Table 4.</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Forster et al. 2026,</w:t>
            </w:r>
            <w:r>
              <w:t xml:space="preserve"> </w:t>
            </w:r>
            <w:r>
              <w:rPr>
                <w:rStyle w:val="VerbatimChar"/>
              </w:rPr>
              <w:t xml:space="preserve">10.5194/essd-18-3889-2026</w:t>
            </w:r>
            <w:r>
              <w:t xml:space="preserve">²²</w:t>
            </w:r>
          </w:p>
        </w:tc>
        <w:tc>
          <w:tcPr/>
          <w:p>
            <w:pPr>
              <w:pStyle w:val="Compact"/>
            </w:pPr>
            <w:r>
              <w:t xml:space="preserve">An independent consensus check on the total, FIG 1.</w:t>
            </w:r>
          </w:p>
        </w:tc>
      </w:tr>
    </w:tbl>
    <w:p>
      <w:pPr>
        <w:pStyle w:val="BodyText"/>
      </w:pPr>
      <w:r>
        <w:t xml:space="preserve">¹³ Acquired 2026-06-13. ¹⁴ Granule</w:t>
      </w:r>
      <w:r>
        <w:t xml:space="preserve"> </w:t>
      </w:r>
      <w:r>
        <w:rPr>
          <w:rStyle w:val="VerbatimChar"/>
        </w:rPr>
        <w:t xml:space="preserve">200204_202606</w:t>
      </w:r>
      <w:r>
        <w:t xml:space="preserve">. ¹⁵ The 2023 value is held constant through 2026, the end of the calibration window; in projections LWS follows BRICK's stochastic land-water module from 2019. ¹⁶</w:t>
      </w:r>
      <w:r>
        <w:t xml:space="preserve"> </w:t>
      </w:r>
      <w:r>
        <w:rPr>
          <w:rStyle w:val="VerbatimChar"/>
        </w:rPr>
        <w:t xml:space="preserve">pnas.1904242116.sd02.xlsx</w:t>
      </w:r>
      <w:r>
        <w:t xml:space="preserve">, sheet "(2) MB_GIS"; no dataset version is published. ¹⁷ Area-corrected ×0.888; entered as published values. ¹⁸ At the RGI ~2000 outline epoch, entered as published values; region polygons GTN-G Glacier Regions 2023, DOI</w:t>
      </w:r>
      <w:r>
        <w:t xml:space="preserve"> </w:t>
      </w:r>
      <w:r>
        <w:rPr>
          <w:rStyle w:val="VerbatimChar"/>
        </w:rPr>
        <w:t xml:space="preserve">10.5904/gtng-glacreg-2023-07</w:t>
      </w:r>
      <w:r>
        <w:t xml:space="preserve">, on the RGI6 scheme. ¹⁹ Fetched 2026-07-21 to 2026-08-24 (Greenland panel 2026-08-18, glacier panel 2026-08-23); member ID recorded per model and the panel pinned to the fetched files, so a later catalogue change cannot swap the ensemble. ²⁰ The 16-parameter / 800,000-member ensemble, used in a standardised correlation form; sha256[:16]</w:t>
      </w:r>
      <w:r>
        <w:t xml:space="preserve"> </w:t>
      </w:r>
      <w:r>
        <w:rPr>
          <w:rStyle w:val="VerbatimChar"/>
        </w:rPr>
        <w:t xml:space="preserve">0b53b45e2422563b</w:t>
      </w:r>
      <w:r>
        <w:t xml:space="preserve">, extracted 2026-08-24. ²¹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 ²² md5</w:t>
      </w:r>
      <w:r>
        <w:t xml:space="preserve"> </w:t>
      </w:r>
      <w:r>
        <w:rPr>
          <w:rStyle w:val="VerbatimChar"/>
        </w:rPr>
        <w:t xml:space="preserve">8ae5ac0041e26351b9f497f969bd0dab</w:t>
      </w:r>
      <w:r>
        <w:t xml:space="preserve">.</w:t>
      </w:r>
    </w:p>
    <w:p>
      <w:pPr>
        <w:pStyle w:val="BodyText"/>
      </w:pPr>
      <w:r>
        <w:rPr>
          <w:b/>
          <w:bCs/>
        </w:rPr>
        <w:t xml:space="preserve">Deliberately removed: IMBIE, and the total.</w:t>
      </w:r>
      <w:r>
        <w:t xml:space="preserve"> </w:t>
      </w:r>
      <w:r>
        <w:t xml:space="preserve">IMBIE was dropped from the Antarctic likelihood to avoid double-weighting mass-balance information already entering through other terms. The total sea-level series — the CSIRO (Church &amp; White 2011 lineage, 2015 update) reconstruction in BRICK 2.0 — is not a likelihood term at all: it was dropped because RGI 19, the one block with no target of its own, was absorbing the observational budget's non-closure through it. Ladrillo is therefore fitted to the four component series and the point constraints above only, and the total's hindcast in FIG 1 and Table 4 (Dangendorf 2024) is an out-of-sample check, with the observed land-water storage added.</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bookmarkEnd w:id="12"/>
    <w:bookmarkStart w:id="13" w:name="ladrillo-calibration-approach-updates"/>
    <w:p>
      <w:pPr>
        <w:pStyle w:val="Heading2"/>
      </w:pPr>
      <w:r>
        <w:t xml:space="preserve">Ladrillo Calibration Approach Updates</w:t>
      </w:r>
    </w:p>
    <w:p>
      <w:pPr>
        <w:pStyle w:val="FirstParagraph"/>
      </w:pPr>
      <w:r>
        <w:rPr>
          <w:b/>
          <w:bCs/>
        </w:rPr>
        <w:t xml:space="preserve">Vintage.</w:t>
      </w:r>
      <w:r>
        <w:t xml:space="preserve"> </w:t>
      </w:r>
      <w:r>
        <w:t xml:space="preserve">This document describes posterior L24, calibrated on FaIR 2.2.4 (fair-calibrate 1.6.0). Both hindcast arms are reproducible: every random seed is fixed and is recorded inside the output file read by each figure, so any number in this document can be regenerated precisely.</w:t>
      </w:r>
    </w:p>
    <w:p>
      <w:pPr>
        <w:pStyle w:val="BodyText"/>
      </w:pPr>
      <w:r>
        <w:t xml:space="preserve">58 parameters are sampled: 17 Antarctic, 9 Greenland, 19 glacier, 13 remaining (thermal expansion, two discrepancy bases of two coefficients each, and four AR(1) noise pairs). Four Antarctic changes distinguish Ladrillo's calibration from BRICK 2.0's — the three described below, plus an SMB likelihood term anchoring the Antarctic flux scale to Rignot 2019: the net balance (−145 ± 15 Gt/yr) is well constrained, but surface mass balance and discharge individually carry about ±505 Gt/yr each, so the anchor fixes the scale of the pair.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pPr>
        <w:pStyle w:val="BodyText"/>
      </w:pPr>
      <w:r>
        <w:rPr>
          <w:b/>
          <w:bCs/>
        </w:rPr>
        <w:t xml:space="preserve">Discrepancy terms.</w:t>
      </w:r>
      <w:r>
        <w:t xml:space="preserve"> </w:t>
      </w:r>
      <w:r>
        <w:t xml:space="preserve">The glacier and thermal-expansion series each carry a two-coefficient model-discrepancy term δ(t), a low-order polynomial in time added to the modelled series before it is scored against the observations. Each basis is orthogonalised against a constant, so δ(t) cannot absorb a level shift, and against the shape the module itself can produce (the ocean-heat path for thermal expansion; the early-century observational ramp for glaciers), so it can only describe structure that rescaling the driver cannot. The basis vectors have unit RMS over the fit window, so each coefficient is an RMS discrepancy in cm, with a N(0, 0.5 cm) prior. Three of the four coefficients are centred near zero in the posterior (medians 0.01–0.04 cm); the first thermal-expansion coefficient is not (0.26 cm, 5–95% 0.09–0.40 cm) because of the FaIR/OHC discrepancy described later. FIG 1 and Table 4 show the bare modules without δ(t), which keeps the comparison with BRICK 2.0, which has no such term, like-for-like.</w:t>
      </w:r>
    </w:p>
    <w:p>
      <w:pPr>
        <w:pStyle w:val="BodyText"/>
      </w:pPr>
      <w:r>
        <w:rPr>
          <w:b/>
          <w:bCs/>
        </w:rPr>
        <w:t xml:space="preserve">Sampler.</w:t>
      </w:r>
      <w:r>
        <w:t xml:space="preserve"> </w:t>
      </w:r>
      <w:r>
        <w:t xml:space="preserve">The posterior is sampled with a robust adaptive Metropolis algorithm (Vihola 2012), whose proposal covariance is adapted during the run toward a 0.234 acceptance rate from a seed taken from an earlier tuning chain. Four chains of 2,000,000 iterations are run; the first half of each is discarded and the 4,000,000 retained draws are thinned evenly to the 10,000-member posterior used for projection. The chains start over-dispersed: each begins from a different retained draw of an earlier tuning chain, chosen at the 2nd, 35th, 65th and 98th percentiles of</w:t>
      </w:r>
      <w:r>
        <w:t xml:space="preserve"> </w:t>
      </w:r>
      <w:r>
        <w:rPr>
          <w:rStyle w:val="VerbatimChar"/>
        </w:rPr>
        <w:t xml:space="preserve">ais_iceflow0</w:t>
      </w:r>
      <w:r>
        <w:t xml:space="preserve">, the slowest-mixing direction of the posterior, so that the between-chain comparison below can detect posterior mass a single chain would not reach in the run. (Starting from a jittered common point was tried and rejected: a jointly perturbed Antarctic geometry leaves the feasible region even when every marginal is within its bounds.)</w:t>
      </w:r>
    </w:p>
    <w:p>
      <w:pPr>
        <w:pStyle w:val="BodyText"/>
      </w:pPr>
      <w:r>
        <w:rPr>
          <w:b/>
          <w:bCs/>
        </w:rPr>
        <w:t xml:space="preserve">Convergence criterion.</w:t>
      </w:r>
      <w:r>
        <w:t xml:space="preserve"> </w:t>
      </w:r>
      <w:r>
        <w:t xml:space="preserve">Convergence is assessed with R̂, the Gelman–Rubin potential scale reduction factor (here the rank-normalised split-R̂ of Vehtari et al. 2021): the ratio of the pooled-chain spread of a quantity to its mean within-chain spread, which approaches 1 when the four chains have mixed into the same distribution and exceeds it while they still sample different regions. The parameter-level gate is R̂ &lt; 1.05 with an effective sample size above 400; 39 of the 58 parameters pass it. The 19 that fail are concentrated in the Antarctic block (the geometry ridge and the ocean-temperature parameters;</w:t>
      </w:r>
      <w:r>
        <w:t xml:space="preserve"> </w:t>
      </w:r>
      <w:r>
        <w:rPr>
          <w:rStyle w:val="VerbatimChar"/>
        </w:rPr>
        <w:t xml:space="preserve">ais_iceflow0</w:t>
      </w:r>
      <w:r>
        <w:t xml:space="preserve"> </w:t>
      </w:r>
      <w:r>
        <w:t xml:space="preserve">R̂ = 1.26,</w:t>
      </w:r>
      <w:r>
        <w:t xml:space="preserve"> </w:t>
      </w:r>
      <w:r>
        <w:rPr>
          <w:rStyle w:val="VerbatimChar"/>
        </w:rPr>
        <w:t xml:space="preserve">antarctic_alpha</w:t>
      </w:r>
      <w:r>
        <w:t xml:space="preserve"> </w:t>
      </w:r>
      <w:r>
        <w:t xml:space="preserve">1.28) and in Greenland's slow channel, directions that are weakly identified and compensate for each other. L24 is therefore accepted on the deliverable-level criterion: projected sea level converges (R̂ = 1.008 at 2100 and 1.011 at 2150 on SSP2-4.5, with an effective sample size of about 1050 on the 1,600 thinned draws used for the diagnostic).</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w:t>
      </w:r>
    </w:p>
    <w:p>
      <w:pPr>
        <w:pStyle w:val="BodyText"/>
      </w:pPr>
      <w:r>
        <w:t xml:space="preserve">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w:t>
      </w:r>
    </w:p>
    <w:p>
      <w:pPr>
        <w:pStyle w:val="BodyText"/>
      </w:pPr>
      <w:r>
        <w:t xml:space="preserve">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w:t>
      </w:r>
    </w:p>
    <w:p>
      <w:pPr>
        <w:pStyle w:val="BodyText"/>
      </w:pPr>
      <w:r>
        <w:t xml:space="preserve">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w:t>
      </w:r>
    </w:p>
    <w:p>
      <w:pPr>
        <w:pStyle w:val="BodyText"/>
      </w:pPr>
      <w:r>
        <w:t xml:space="preserve">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 F</w:t>
      </w:r>
    </w:p>
    <w:p>
      <w:pPr>
        <w:pStyle w:val="BodyText"/>
      </w:pPr>
      <w:r>
        <w:t xml:space="preserve">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pPr>
        <w:pStyle w:val="BodyText"/>
      </w:pPr>
      <w:r>
        <w:t xml:space="preserve">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 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results are shown for all modules through 2100, but past 2100 only the modules that explicitly respond to the FaIR climate driver are shown. Its Greenland module (FittedISMIP) is an emulator fitted to 2015–2100 ISMIP6 runs whose rate carries an explicit quadratic term in time; FACTS extrapolates it linearly after 2100, so letting it run on the temperature path results in High-to-Low Greenland rising from 47 to 112 cm by 2300 while the climate cools. The Bamber and DeConto modules select their projections from the temperature integrated over 2000–2099 with the AR5 Antarctic dynamics term as a prescribed function of time, and LARMIP's response functions are 200 years long and zero beyond, so by 2300 it has forgotten every pre-2100 forcing year.</w:t>
      </w:r>
    </w:p>
    <w:p>
      <w:pPr>
        <w:pStyle w:val="BodyText"/>
      </w:pPr>
      <w:r>
        <w:t xml:space="preserve">Modules whose components are not climate-driven at a given horizon, and every workflow total that depends on those modules, are therefore dropped from that horizon: at 2150 FACTS is shown for glaciers, thermal expansion, land-water storage and LARMIP Antarctica; at 2300 for glaciers, thermal expansion and land-water storage only. The SLEIP intercomparison introduction notes that some AR6 methods cannot project beyond their 2100 training horizon; so its 2300 FACTS values are presumably these extrapolations and not a climate-driven alternative.</w:t>
      </w:r>
    </w:p>
    <w:p>
      <w:pPr>
        <w:pStyle w:val="BodyText"/>
      </w:pPr>
      <w:r>
        <w:t xml:space="preserve">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The members with the strongest cooling (−1.5 to −2 K) give the largest Greenland melt (up to +343 cm from surface mass balance alone).</w:t>
      </w:r>
    </w:p>
    <w:bookmarkStart w:id="45" w:name="ssp-comparisons"/>
    <w:p>
      <w:pPr>
        <w:pStyle w:val="Heading3"/>
      </w:pPr>
      <w:r>
        <w:t xml:space="preserve">SSP comparisons</w:t>
      </w:r>
    </w:p>
    <w:p>
      <w:pPr>
        <w:pStyle w:val="FirstParagraph"/>
      </w:pPr>
      <w:r>
        <w:t xml:space="preserve">The SSP comparisons have similar results to the van Vuuren comparisons. Because SSP5-8.5 is</w:t>
      </w:r>
    </w:p>
    <w:p>
      <w:pPr>
        <w:pStyle w:val="BodyText"/>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w:t>
      </w:r>
    </w:p>
    <w:p>
      <w:pPr>
        <w:pStyle w:val="BodyText"/>
      </w:pPr>
      <w:r>
        <w:t xml:space="preserve">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0.0105, sd 0.0033 in Ladrillo; 0.0104, 0.0036 in BRICK 2.0),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w:t>
      </w:r>
    </w:p>
    <w:p>
      <w:pPr>
        <w:pStyle w:val="BodyText"/>
      </w:pPr>
      <w:r>
        <w:t xml:space="preserve">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RGI 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2026-09-14T15:26:22Z</dcterms:created>
  <dcterms:modified xsi:type="dcterms:W3CDTF">2026-09-14T15:26:22Z</dcterms:modified>
</cp:coreProperties>
</file>

<file path=docProps/custom.xml><?xml version="1.0" encoding="utf-8"?>
<Properties xmlns="http://schemas.openxmlformats.org/officeDocument/2006/custom-properties" xmlns:vt="http://schemas.openxmlformats.org/officeDocument/2006/docPropsVTypes"/>
</file>