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 Ladrillo is also less independent of MAGICC on glaciers than BRICK 2.0 is, having adopted the Nauels 2017 transient.</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 cm re-referenced to 1995–2005. Both Ladrillo and BRICK 2.0 are integrated from 1850 and plotted from 1900. The total panel also carries IGCC 2025-indicators GMSL (tag</w:t>
      </w:r>
      <w:r>
        <w:t xml:space="preserve"> </w:t>
      </w:r>
      <w:r>
        <w:rPr>
          <w:rStyle w:val="VerbatimChar"/>
        </w:rPr>
        <w:t xml:space="preserve">v2026.06.02</w:t>
      </w:r>
      <w:r>
        <w:t xml:space="preserve">) as an independent consensus check; it is not a calibration target.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0.555</w:t>
            </w:r>
          </w:p>
        </w:tc>
        <w:tc>
          <w:tcPr/>
          <w:p>
            <w:pPr>
              <w:pStyle w:val="Compact"/>
            </w:pPr>
            <w:r>
              <w:rPr>
                <w:b/>
                <w:bCs/>
              </w:rPr>
              <w:t xml:space="preserve">0.018</w:t>
            </w:r>
          </w:p>
        </w:tc>
      </w:tr>
      <w:tr>
        <w:tc>
          <w:tcPr/>
          <w:p>
            <w:pPr>
              <w:pStyle w:val="Compact"/>
            </w:pPr>
            <w:r>
              <w:t xml:space="preserve">Greenland</w:t>
            </w:r>
          </w:p>
        </w:tc>
        <w:tc>
          <w:tcPr/>
          <w:p>
            <w:pPr>
              <w:pStyle w:val="Compact"/>
            </w:pPr>
            <w:r>
              <w:rPr>
                <w:b/>
                <w:bCs/>
              </w:rPr>
              <w:t xml:space="preserve">0.114</w:t>
            </w:r>
          </w:p>
        </w:tc>
        <w:tc>
          <w:tcPr/>
          <w:p>
            <w:pPr>
              <w:pStyle w:val="Compact"/>
            </w:pPr>
            <w:r>
              <w:rPr>
                <w:b/>
                <w:bCs/>
              </w:rPr>
              <w:t xml:space="preserve">0.103</w:t>
            </w:r>
          </w:p>
        </w:tc>
        <w:tc>
          <w:tcPr/>
          <w:p>
            <w:pPr>
              <w:pStyle w:val="Compact"/>
            </w:pPr>
            <w:r>
              <w:rPr>
                <w:b/>
                <w:bCs/>
              </w:rPr>
              <w:t xml:space="preserve">0.054</w:t>
            </w:r>
          </w:p>
        </w:tc>
        <w:tc>
          <w:tcPr/>
          <w:p>
            <w:pPr>
              <w:pStyle w:val="Compact"/>
            </w:pPr>
            <w:r>
              <w:rPr>
                <w:b/>
                <w:bCs/>
              </w:rPr>
              <w:t xml:space="preserve">0.272</w:t>
            </w:r>
          </w:p>
        </w:tc>
        <w:tc>
          <w:tcPr/>
          <w:p>
            <w:pPr>
              <w:pStyle w:val="Compact"/>
            </w:pPr>
            <w:r>
              <w:rPr>
                <w:b/>
                <w:bCs/>
              </w:rPr>
              <w:t xml:space="preserve">0.086</w:t>
            </w:r>
          </w:p>
        </w:tc>
      </w:tr>
      <w:tr>
        <w:tc>
          <w:tcPr/>
          <w:p>
            <w:pPr>
              <w:pStyle w:val="Compact"/>
            </w:pPr>
            <w:r>
              <w:t xml:space="preserve">Glaciers</w:t>
            </w:r>
          </w:p>
        </w:tc>
        <w:tc>
          <w:tcPr/>
          <w:p>
            <w:pPr>
              <w:pStyle w:val="Compact"/>
            </w:pPr>
            <w:r>
              <w:rPr>
                <w:b/>
                <w:bCs/>
              </w:rPr>
              <w:t xml:space="preserve">0.421</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0.408</w:t>
            </w:r>
          </w:p>
        </w:tc>
      </w:tr>
      <w:tr>
        <w:tc>
          <w:tcPr/>
          <w:p>
            <w:pPr>
              <w:pStyle w:val="Compact"/>
            </w:pPr>
            <w:r>
              <w:t xml:space="preserve">Thermal expansion</w:t>
            </w:r>
          </w:p>
        </w:tc>
        <w:tc>
          <w:tcPr/>
          <w:p>
            <w:pPr>
              <w:pStyle w:val="Compact"/>
            </w:pPr>
            <w:r>
              <w:t xml:space="preserve">1.653</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1.327</w:t>
            </w:r>
          </w:p>
        </w:tc>
      </w:tr>
      <w:tr>
        <w:tc>
          <w:tcPr/>
          <w:p>
            <w:pPr>
              <w:pStyle w:val="Compact"/>
            </w:pPr>
            <w:r>
              <w:rPr>
                <w:b/>
                <w:bCs/>
              </w:rPr>
              <w:t xml:space="preserve">Total</w:t>
            </w:r>
          </w:p>
        </w:tc>
        <w:tc>
          <w:tcPr/>
          <w:p>
            <w:pPr>
              <w:pStyle w:val="Compact"/>
            </w:pPr>
            <w:r>
              <w:rPr>
                <w:b/>
                <w:bCs/>
              </w:rPr>
              <w:t xml:space="preserve">0.687</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1.121</w:t>
            </w:r>
          </w:p>
        </w:tc>
        <w:tc>
          <w:tcPr/>
          <w:p>
            <w:pPr>
              <w:pStyle w:val="Compact"/>
            </w:pPr>
            <w:r>
              <w:rPr>
                <w:b/>
                <w:bCs/>
              </w:rPr>
              <w:t xml:space="preserve">0.459</w:t>
            </w:r>
          </w:p>
        </w:tc>
      </w:tr>
    </w:tbl>
    <w:p>
      <w:pPr>
        <w:pStyle w:val="BodyText"/>
      </w:pPr>
      <w:r>
        <w:t xml:space="preserve">The 1900–1919 column is new. It was previously unavailable because the BRICK 2.0 driver saved output only from 1920 although it integrates from 1850, and the scorecard scores both arms on their common years — so the truncation, not a scientific choice, set both the earliest window and the "full" column. With the spans matched, the three shared windows are unchanged and only "full" moves.</w:t>
      </w:r>
      <w:r>
        <w:t xml:space="preserve"> </w:t>
      </w:r>
      <w:r>
        <w:rPr>
          <w:b/>
          <w:bCs/>
        </w:rPr>
        <w:t xml:space="preserve">Adding the earliest era does not flatter Ladrillo:</w:t>
      </w:r>
      <w:r>
        <w:t xml:space="preserve"> </w:t>
      </w:r>
      <w:r>
        <w:t xml:space="preserve">its "full" ratio worsens on glaciers (0.372 → 0.408), thermal expansion (1.236 → 1.327) and the total (0.373 → 0.459). ⚠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+23.49 — Ladrillo undershoots by 1.2 cm, BRICK overshoots by 2.5. (On single-year 1900 and 2024 endpoints, as earlier versions of this document reported over 1920–2024, the same comparison reads +22.16 / +21.19 / +24.53; the five-year end-windows are preferred because a single year of a noisy series is not a level.) Over the shorter, more recent window — the level at 2024 relative to the 1995–2005 baseline — both models still run high, but only slightly: observed +7.81 cm, Ladrillo +8.16 (+0.36), BRICK 2.0 +8.06 (+0.25), with IGCC's independent GMSL estimate the highest of the three at +8.21. Each of those means is taken over the three years 2022–2024, the years for which the observational total exists; averaging the models over the full 2022–2026 window while the observations stop in 2024 previously inflated the Ladrillo figure to +0.74 and the BRICK figure to +0.64, roughly half of each being the window mismatch rather than model bias.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2026-09-10T19:37:20Z</dcterms:created>
  <dcterms:modified xsi:type="dcterms:W3CDTF">2026-09-10T19:37:20Z</dcterms:modified>
</cp:coreProperties>
</file>

<file path=docProps/custom.xml><?xml version="1.0" encoding="utf-8"?>
<Properties xmlns="http://schemas.openxmlformats.org/officeDocument/2006/custom-properties" xmlns:vt="http://schemas.openxmlformats.org/officeDocument/2006/docPropsVTypes"/>
</file>