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occupies a distinct niche among current sea level emulators. Of the seven emulators in the SLEIP intercomparison, only three carry a hindcast of every component starting in 1900 or earlier: BRICK 2.0, SURFER, and MP25. Of these three, SURFER's historical total runs outside the observational range in SLEIP's own assessment, and MP25 is a statistical fit to the Frederikse reconstruction that projects only to 2100, leaving BRICK and Ladrillo as the two models which run 1900-2300 and match observations. MAGICC-SLR and FRISIA start their ice sheets in 1990 and 2002 and ProFSea starts in 2007, and the FACTS workflow starts in 2005. Some other limitations of other emulators are that FACTS's ice-sheet modules either extrapolate or sample from 21st-century projections and that MAGICC-SLR can only be run on MAGICC's own climate.</w:t>
      </w:r>
    </w:p>
    <w:p>
      <w:pPr>
        <w:pStyle w:val="BodyText"/>
      </w:pPr>
      <w:r>
        <w:t xml:space="preserve">As a derivative of BRICK, Ladrillo and BRICK do share a similar niche. However, while Ladrillo generally keeps to BRICK’s design philosophy of physically based components calibrated on the historical record, it does depart from that philosophy in two places that observations cannot inform,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pPr>
        <w:pStyle w:val="BodyText"/>
      </w:pPr>
      <w:r>
        <w:rPr>
          <w:b/>
          <w:bCs/>
        </w:rPr>
        <w:t xml:space="preserve">Table 1.</w:t>
      </w:r>
      <w:r>
        <w:t xml:space="preserve"> </w:t>
      </w:r>
      <w:r>
        <w:t xml:space="preserve">Scope and calibration of the seven SLEIP emulators and Ladrillo. SLEIP entries from the SLEIP preprint (Tables 2 and 6, §3); FACTS's post-2100 behaviour read from its code. n.d. = not documented in SLEIP.</w:t>
      </w:r>
    </w:p>
    <w:tbl>
      <w:tblPr>
        <w:tblStyle w:val="Table"/>
        <w:tblW w:type="pct" w:w="5000"/>
        <w:tblLayout w:type="fixed"/>
        <w:tblLook w:firstRow="1" w:lastRow="0" w:firstColumn="0" w:lastColumn="0" w:noHBand="0" w:noVBand="0" w:val="0020"/>
      </w:tblPr>
      <w:tblGrid>
        <w:gridCol w:w="1267"/>
        <w:gridCol w:w="712"/>
        <w:gridCol w:w="871"/>
        <w:gridCol w:w="792"/>
        <w:gridCol w:w="950"/>
        <w:gridCol w:w="792"/>
        <w:gridCol w:w="871"/>
        <w:gridCol w:w="871"/>
        <w:gridCol w:w="792"/>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Hindcast, all components</w:t>
            </w:r>
          </w:p>
        </w:tc>
        <w:tc>
          <w:tcPr/>
          <w:p>
            <w:pPr>
              <w:pStyle w:val="Compact"/>
            </w:pPr>
            <w:r>
              <w:rPr>
                <w:sz w:val="16"/>
              </w:rPr>
              <w:t xml:space="preserve">yes (1850)</w:t>
            </w:r>
          </w:p>
        </w:tc>
        <w:tc>
          <w:tcPr/>
          <w:p>
            <w:pPr>
              <w:pStyle w:val="Compact"/>
            </w:pPr>
            <w:r>
              <w:rPr>
                <w:sz w:val="16"/>
              </w:rPr>
              <w:t xml:space="preserve">no (2005)</w:t>
            </w:r>
          </w:p>
        </w:tc>
        <w:tc>
          <w:tcPr/>
          <w:p>
            <w:pPr>
              <w:pStyle w:val="Compact"/>
            </w:pPr>
            <w:r>
              <w:rPr>
                <w:sz w:val="16"/>
              </w:rPr>
              <w:t xml:space="preserve">partial¹</w:t>
            </w:r>
          </w:p>
        </w:tc>
        <w:tc>
          <w:tcPr/>
          <w:p>
            <w:pPr>
              <w:pStyle w:val="Compact"/>
            </w:pPr>
            <w:r>
              <w:rPr>
                <w:sz w:val="16"/>
              </w:rPr>
              <w:t xml:space="preserve">partial¹</w:t>
            </w:r>
          </w:p>
        </w:tc>
        <w:tc>
          <w:tcPr/>
          <w:p>
            <w:pPr>
              <w:pStyle w:val="Compact"/>
            </w:pPr>
            <w:r>
              <w:rPr>
                <w:sz w:val="16"/>
              </w:rPr>
              <w:t xml:space="preserve">yes (1900)</w:t>
            </w:r>
          </w:p>
        </w:tc>
        <w:tc>
          <w:tcPr/>
          <w:p>
            <w:pPr>
              <w:pStyle w:val="Compact"/>
            </w:pPr>
            <w:r>
              <w:rPr>
                <w:sz w:val="16"/>
              </w:rPr>
              <w:t xml:space="preserve">no (2007)</w:t>
            </w:r>
          </w:p>
        </w:tc>
        <w:tc>
          <w:tcPr/>
          <w:p>
            <w:pPr>
              <w:pStyle w:val="Compact"/>
            </w:pPr>
            <w:r>
              <w:rPr>
                <w:sz w:val="16"/>
              </w:rPr>
              <w:t xml:space="preserve">yes (1850)</w:t>
            </w:r>
          </w:p>
        </w:tc>
        <w:tc>
          <w:tcPr/>
          <w:p>
            <w:pPr>
              <w:pStyle w:val="Compact"/>
            </w:pPr>
            <w:r>
              <w:rPr>
                <w:sz w:val="16"/>
              </w:rPr>
              <w:t xml:space="preserve">yes (1850)</w:t>
            </w:r>
          </w:p>
        </w:tc>
      </w:tr>
      <w:tr>
        <w:tc>
          <w:tcPr/>
          <w:p>
            <w:pPr>
              <w:pStyle w:val="Compact"/>
            </w:pPr>
            <w:r>
              <w:rPr>
                <w:sz w:val="16"/>
              </w:rPr>
              <w:t xml:space="preserve">Calibrated on observations</w:t>
            </w:r>
          </w:p>
        </w:tc>
        <w:tc>
          <w:tcPr/>
          <w:p>
            <w:pPr>
              <w:pStyle w:val="Compact"/>
            </w:pPr>
            <w:r>
              <w:rPr>
                <w:sz w:val="16"/>
              </w:rPr>
              <w:t xml:space="preserve">yes</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mixed³</w:t>
            </w:r>
          </w:p>
        </w:tc>
        <w:tc>
          <w:tcPr/>
          <w:p>
            <w:pPr>
              <w:pStyle w:val="Compact"/>
            </w:pPr>
            <w:r>
              <w:rPr>
                <w:sz w:val="16"/>
              </w:rPr>
              <w:t xml:space="preserve">no²</w:t>
            </w:r>
          </w:p>
        </w:tc>
        <w:tc>
          <w:tcPr/>
          <w:p>
            <w:pPr>
              <w:pStyle w:val="Compact"/>
            </w:pPr>
            <w:r>
              <w:rPr>
                <w:sz w:val="16"/>
              </w:rPr>
              <w:t xml:space="preserve">no²</w:t>
            </w:r>
          </w:p>
        </w:tc>
        <w:tc>
          <w:tcPr/>
          <w:p>
            <w:pPr>
              <w:pStyle w:val="Compact"/>
            </w:pPr>
            <w:r>
              <w:rPr>
                <w:sz w:val="16"/>
              </w:rPr>
              <w:t xml:space="preserve">yes⁴</w:t>
            </w:r>
          </w:p>
        </w:tc>
      </w:tr>
      <w:tr>
        <w:tc>
          <w:tcPr/>
          <w:p>
            <w:pPr>
              <w:pStyle w:val="Compact"/>
            </w:pPr>
            <w:r>
              <w:rPr>
                <w:sz w:val="16"/>
              </w:rPr>
              <w:t xml:space="preserve">Runs on an external climate (FaIR)</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GMST only</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yes</w:t>
            </w:r>
          </w:p>
        </w:tc>
      </w:tr>
      <w:tr>
        <w:tc>
          <w:tcPr/>
          <w:p>
            <w:pPr>
              <w:pStyle w:val="Compact"/>
            </w:pPr>
            <w:r>
              <w:rPr>
                <w:sz w:val="16"/>
              </w:rPr>
              <w:t xml:space="preserve">Climate-driven past 2100</w:t>
            </w:r>
          </w:p>
        </w:tc>
        <w:tc>
          <w:tcPr/>
          <w:p>
            <w:pPr>
              <w:pStyle w:val="Compact"/>
            </w:pPr>
            <w:r>
              <w:rPr>
                <w:sz w:val="16"/>
              </w:rPr>
              <w:t xml:space="preserve">yes</w:t>
            </w:r>
          </w:p>
        </w:tc>
        <w:tc>
          <w:tcPr/>
          <w:p>
            <w:pPr>
              <w:pStyle w:val="Compact"/>
            </w:pPr>
            <w:r>
              <w:rPr>
                <w:sz w:val="16"/>
              </w:rPr>
              <w:t xml:space="preserve">TE, glaciers only⁵</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no⁶</w:t>
            </w:r>
          </w:p>
        </w:tc>
        <w:tc>
          <w:tcPr/>
          <w:p>
            <w:pPr>
              <w:pStyle w:val="Compact"/>
            </w:pPr>
            <w:r>
              <w:rPr>
                <w:sz w:val="16"/>
              </w:rPr>
              <w:t xml:space="preserve">partial⁵</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Regional / relative sea level</w:t>
            </w:r>
          </w:p>
        </w:tc>
        <w:tc>
          <w:tcPr/>
          <w:p>
            <w:pPr>
              <w:pStyle w:val="Compact"/>
            </w:pPr>
            <w:r>
              <w:rPr>
                <w:sz w:val="16"/>
              </w:rPr>
              <w:t xml:space="preserve">yes / no</w:t>
            </w:r>
          </w:p>
        </w:tc>
        <w:tc>
          <w:tcPr/>
          <w:p>
            <w:pPr>
              <w:pStyle w:val="Compact"/>
            </w:pPr>
            <w:r>
              <w:rPr>
                <w:sz w:val="16"/>
              </w:rPr>
              <w:t xml:space="preserve">yes / yes</w:t>
            </w:r>
          </w:p>
        </w:tc>
        <w:tc>
          <w:tcPr/>
          <w:p>
            <w:pPr>
              <w:pStyle w:val="Compact"/>
            </w:pPr>
            <w:r>
              <w:rPr>
                <w:sz w:val="16"/>
              </w:rPr>
              <w:t xml:space="preserve">yes / no</w:t>
            </w:r>
          </w:p>
        </w:tc>
        <w:tc>
          <w:tcPr/>
          <w:p>
            <w:pPr>
              <w:pStyle w:val="Compact"/>
            </w:pPr>
            <w:r>
              <w:rPr>
                <w:sz w:val="16"/>
              </w:rPr>
              <w:t xml:space="preserve">no / no</w:t>
            </w:r>
          </w:p>
        </w:tc>
        <w:tc>
          <w:tcPr/>
          <w:p>
            <w:pPr>
              <w:pStyle w:val="Compact"/>
            </w:pPr>
            <w:r>
              <w:rPr>
                <w:sz w:val="16"/>
              </w:rPr>
              <w:t xml:space="preserve">yes / yes</w:t>
            </w:r>
          </w:p>
        </w:tc>
        <w:tc>
          <w:tcPr/>
          <w:p>
            <w:pPr>
              <w:pStyle w:val="Compact"/>
            </w:pPr>
            <w:r>
              <w:rPr>
                <w:sz w:val="16"/>
              </w:rPr>
              <w:t xml:space="preserve">yes / yes</w:t>
            </w:r>
          </w:p>
        </w:tc>
        <w:tc>
          <w:tcPr/>
          <w:p>
            <w:pPr>
              <w:pStyle w:val="Compact"/>
            </w:pPr>
            <w:r>
              <w:rPr>
                <w:sz w:val="16"/>
              </w:rPr>
              <w:t xml:space="preserve">no / no</w:t>
            </w:r>
          </w:p>
        </w:tc>
        <w:tc>
          <w:tcPr/>
          <w:p>
            <w:pPr>
              <w:pStyle w:val="Compact"/>
            </w:pPr>
            <w:r>
              <w:rPr>
                <w:sz w:val="16"/>
              </w:rPr>
              <w:t xml:space="preserve">no / no</w:t>
            </w:r>
          </w:p>
        </w:tc>
      </w:tr>
    </w:tbl>
    <w:p>
      <w:pPr>
        <w:pStyle w:val="BodyText"/>
      </w:pPr>
      <w:r>
        <w:t xml:space="preserve">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pPr>
        <w:pStyle w:val="BodyText"/>
      </w:pPr>
      <w:r>
        <w:rPr>
          <w:b/>
          <w:bCs/>
        </w:rPr>
        <w:t xml:space="preserve">Table 2.</w:t>
      </w:r>
      <w:r>
        <w:t xml:space="preserve"> </w:t>
      </w:r>
      <w:r>
        <w:t xml:space="preserve">Component structure of the same eight emulators. Glacier inventories for BRICK 2.0, MAGICC and FACTS read from their parameter files and code; Farinotti 2019 gives 32.4 ± 8.4 cm SLE for all RGI regions. n.d. = not documented in SLEIP.</w:t>
      </w:r>
    </w:p>
    <w:tbl>
      <w:tblPr>
        <w:tblStyle w:val="Table"/>
        <w:tblW w:type="pct" w:w="5000"/>
        <w:tblLayout w:type="fixed"/>
        <w:tblLook w:firstRow="1" w:lastRow="0" w:firstColumn="0" w:lastColumn="0" w:noHBand="0" w:noVBand="0" w:val="0020"/>
      </w:tblPr>
      <w:tblGrid>
        <w:gridCol w:w="950"/>
        <w:gridCol w:w="633"/>
        <w:gridCol w:w="871"/>
        <w:gridCol w:w="633"/>
        <w:gridCol w:w="950"/>
        <w:gridCol w:w="871"/>
        <w:gridCol w:w="871"/>
        <w:gridCol w:w="1108"/>
        <w:gridCol w:w="1029"/>
      </w:tblGrid>
      <w:tr>
        <w:trPr>
          <w:tblHeader w:val="on"/>
        </w:trPr>
        <w:tc>
          <w:tcPr/>
          <w:p>
            <w:pPr>
              <w:pStyle w:val="Compact"/>
            </w:pPr>
            <w:r>
              <w:rPr>
                <w:sz w:val="16"/>
              </w:rPr>
              <w:t xml:space="preserve">attribute</w:t>
            </w:r>
          </w:p>
        </w:tc>
        <w:tc>
          <w:tcPr/>
          <w:p>
            <w:pPr>
              <w:pStyle w:val="Compact"/>
            </w:pPr>
            <w:r>
              <w:rPr>
                <w:sz w:val="16"/>
              </w:rPr>
              <w:t xml:space="preserve">BRICK 2.0</w:t>
            </w:r>
          </w:p>
        </w:tc>
        <w:tc>
          <w:tcPr/>
          <w:p>
            <w:pPr>
              <w:pStyle w:val="Compact"/>
            </w:pPr>
            <w:r>
              <w:rPr>
                <w:sz w:val="16"/>
              </w:rPr>
              <w:t xml:space="preserve">FACTS</w:t>
            </w:r>
          </w:p>
        </w:tc>
        <w:tc>
          <w:tcPr/>
          <w:p>
            <w:pPr>
              <w:pStyle w:val="Compact"/>
            </w:pPr>
            <w:r>
              <w:rPr>
                <w:sz w:val="16"/>
              </w:rPr>
              <w:t xml:space="preserve">FRISIA</w:t>
            </w:r>
          </w:p>
        </w:tc>
        <w:tc>
          <w:tcPr/>
          <w:p>
            <w:pPr>
              <w:pStyle w:val="Compact"/>
            </w:pPr>
            <w:r>
              <w:rPr>
                <w:sz w:val="16"/>
              </w:rPr>
              <w:t xml:space="preserve">MAGICC-SLR</w:t>
            </w:r>
          </w:p>
        </w:tc>
        <w:tc>
          <w:tcPr/>
          <w:p>
            <w:pPr>
              <w:pStyle w:val="Compact"/>
            </w:pPr>
            <w:r>
              <w:rPr>
                <w:sz w:val="16"/>
              </w:rPr>
              <w:t xml:space="preserve">MP25</w:t>
            </w:r>
          </w:p>
        </w:tc>
        <w:tc>
          <w:tcPr/>
          <w:p>
            <w:pPr>
              <w:pStyle w:val="Compact"/>
            </w:pPr>
            <w:r>
              <w:rPr>
                <w:sz w:val="16"/>
              </w:rPr>
              <w:t xml:space="preserve">ProFSea</w:t>
            </w:r>
          </w:p>
        </w:tc>
        <w:tc>
          <w:tcPr/>
          <w:p>
            <w:pPr>
              <w:pStyle w:val="Compact"/>
            </w:pPr>
            <w:r>
              <w:rPr>
                <w:sz w:val="16"/>
              </w:rPr>
              <w:t xml:space="preserve">SURFER</w:t>
            </w:r>
          </w:p>
        </w:tc>
        <w:tc>
          <w:tcPr/>
          <w:p>
            <w:pPr>
              <w:pStyle w:val="Compact"/>
            </w:pPr>
            <w:r>
              <w:rPr>
                <w:sz w:val="16"/>
              </w:rPr>
              <w:t xml:space="preserve">Ladrillo</w:t>
            </w:r>
          </w:p>
        </w:tc>
      </w:tr>
      <w:tr>
        <w:tc>
          <w:tcPr/>
          <w:p>
            <w:pPr>
              <w:pStyle w:val="Compact"/>
            </w:pPr>
            <w:r>
              <w:rPr>
                <w:sz w:val="16"/>
              </w:rPr>
              <w:t xml:space="preserve">Thermal expansion</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 OHC</w:t>
            </w:r>
          </w:p>
        </w:tc>
        <w:tc>
          <w:tcPr/>
          <w:p>
            <w:pPr>
              <w:pStyle w:val="Compact"/>
            </w:pPr>
            <w:r>
              <w:rPr>
                <w:sz w:val="16"/>
              </w:rPr>
              <w:t xml:space="preserve">40 layers</w:t>
            </w:r>
          </w:p>
        </w:tc>
        <w:tc>
          <w:tcPr/>
          <w:p>
            <w:pPr>
              <w:pStyle w:val="Compact"/>
            </w:pPr>
            <w:r>
              <w:rPr>
                <w:sz w:val="16"/>
              </w:rPr>
              <w:t xml:space="preserve">∝ GSAT</w:t>
            </w:r>
          </w:p>
        </w:tc>
        <w:tc>
          <w:tcPr/>
          <w:p>
            <w:pPr>
              <w:pStyle w:val="Compact"/>
            </w:pPr>
            <w:r>
              <w:rPr>
                <w:sz w:val="16"/>
              </w:rPr>
              <w:t xml:space="preserve">∝ OHC</w:t>
            </w:r>
          </w:p>
        </w:tc>
        <w:tc>
          <w:tcPr/>
          <w:p>
            <w:pPr>
              <w:pStyle w:val="Compact"/>
            </w:pPr>
            <w:r>
              <w:rPr>
                <w:sz w:val="16"/>
              </w:rPr>
              <w:t xml:space="preserve">3 layers</w:t>
            </w:r>
          </w:p>
        </w:tc>
        <w:tc>
          <w:tcPr/>
          <w:p>
            <w:pPr>
              <w:pStyle w:val="Compact"/>
            </w:pPr>
            <w:r>
              <w:rPr>
                <w:sz w:val="16"/>
              </w:rPr>
              <w:t xml:space="preserve">∝ OHC</w:t>
            </w:r>
          </w:p>
        </w:tc>
      </w:tr>
      <w:tr>
        <w:tc>
          <w:tcPr/>
          <w:p>
            <w:pPr>
              <w:pStyle w:val="Compact"/>
            </w:pPr>
            <w:r>
              <w:rPr>
                <w:sz w:val="16"/>
              </w:rPr>
              <w:t xml:space="preserve">Glacier inventory at 2000 (cm SLE)</w:t>
            </w:r>
          </w:p>
        </w:tc>
        <w:tc>
          <w:tcPr/>
          <w:p>
            <w:pPr>
              <w:pStyle w:val="Compact"/>
            </w:pPr>
            <w:r>
              <w:rPr>
                <w:sz w:val="16"/>
              </w:rPr>
              <w:t xml:space="preserve">37.7 (28–48)⁷</w:t>
            </w:r>
          </w:p>
        </w:tc>
        <w:tc>
          <w:tcPr/>
          <w:p>
            <w:pPr>
              <w:pStyle w:val="Compact"/>
            </w:pPr>
            <w:r>
              <w:rPr>
                <w:sz w:val="16"/>
              </w:rPr>
              <w:t xml:space="preserve">31.6⁸</w:t>
            </w:r>
          </w:p>
        </w:tc>
        <w:tc>
          <w:tcPr/>
          <w:p>
            <w:pPr>
              <w:pStyle w:val="Compact"/>
            </w:pPr>
            <w:r>
              <w:rPr>
                <w:sz w:val="16"/>
              </w:rPr>
              <w:t xml:space="preserve">n.d.</w:t>
            </w:r>
          </w:p>
        </w:tc>
        <w:tc>
          <w:tcPr/>
          <w:p>
            <w:pPr>
              <w:pStyle w:val="Compact"/>
            </w:pPr>
            <w:r>
              <w:rPr>
                <w:sz w:val="16"/>
              </w:rPr>
              <w:t xml:space="preserve">≈26–36⁹</w:t>
            </w:r>
          </w:p>
        </w:tc>
        <w:tc>
          <w:tcPr/>
          <w:p>
            <w:pPr>
              <w:pStyle w:val="Compact"/>
            </w:pPr>
            <w:r>
              <w:rPr>
                <w:sz w:val="16"/>
              </w:rPr>
              <w:t xml:space="preserve">n.d.</w:t>
            </w:r>
          </w:p>
        </w:tc>
        <w:tc>
          <w:tcPr/>
          <w:p>
            <w:pPr>
              <w:pStyle w:val="Compact"/>
            </w:pPr>
            <w:r>
              <w:rPr>
                <w:sz w:val="16"/>
              </w:rPr>
              <w:t xml:space="preserve">n.d.</w:t>
            </w:r>
          </w:p>
        </w:tc>
        <w:tc>
          <w:tcPr/>
          <w:p>
            <w:pPr>
              <w:pStyle w:val="Compact"/>
            </w:pPr>
            <w:r>
              <w:rPr>
                <w:sz w:val="16"/>
              </w:rPr>
              <w:t xml:space="preserve">n.d. (50 preindustrial)</w:t>
            </w:r>
          </w:p>
        </w:tc>
        <w:tc>
          <w:tcPr/>
          <w:p>
            <w:pPr>
              <w:pStyle w:val="Compact"/>
            </w:pPr>
            <w:r>
              <w:rPr>
                <w:sz w:val="16"/>
              </w:rPr>
              <w:t xml:space="preserve">29.0 ± 6.0¹⁰</w:t>
            </w:r>
          </w:p>
        </w:tc>
      </w:tr>
      <w:tr>
        <w:tc>
          <w:tcPr/>
          <w:p>
            <w:pPr>
              <w:pStyle w:val="Compact"/>
            </w:pPr>
            <w:r>
              <w:rPr>
                <w:sz w:val="16"/>
              </w:rPr>
              <w:t xml:space="preserve">Glacier regrowth under cooling</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n.d.</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r>
      <w:tr>
        <w:tc>
          <w:tcPr/>
          <w:p>
            <w:pPr>
              <w:pStyle w:val="Compact"/>
            </w:pPr>
            <w:r>
              <w:rPr>
                <w:sz w:val="16"/>
              </w:rPr>
              <w:t xml:space="preserve">Greenland SMB / discharge split</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w:t>
            </w:r>
          </w:p>
        </w:tc>
        <w:tc>
          <w:tcPr/>
          <w:p>
            <w:pPr>
              <w:pStyle w:val="Compact"/>
            </w:pPr>
            <w:r>
              <w:rPr>
                <w:sz w:val="16"/>
              </w:rPr>
              <w:t xml:space="preserve">yes</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no</w:t>
            </w:r>
          </w:p>
        </w:tc>
        <w:tc>
          <w:tcPr/>
          <w:p>
            <w:pPr>
              <w:pStyle w:val="Compact"/>
            </w:pPr>
            <w:r>
              <w:rPr>
                <w:sz w:val="16"/>
              </w:rPr>
              <w:t xml:space="preserve">yes¹¹</w:t>
            </w:r>
          </w:p>
        </w:tc>
      </w:tr>
      <w:tr>
        <w:tc>
          <w:tcPr/>
          <w:p>
            <w:pPr>
              <w:pStyle w:val="Compact"/>
            </w:pPr>
            <w:r>
              <w:rPr>
                <w:sz w:val="16"/>
              </w:rPr>
              <w:t xml:space="preserve">Antarctic ice sheet</w:t>
            </w:r>
          </w:p>
        </w:tc>
        <w:tc>
          <w:tcPr/>
          <w:p>
            <w:pPr>
              <w:pStyle w:val="Compact"/>
            </w:pPr>
            <w:r>
              <w:rPr>
                <w:sz w:val="16"/>
              </w:rPr>
              <w:t xml:space="preserve">DAIS</w:t>
            </w:r>
          </w:p>
        </w:tc>
        <w:tc>
          <w:tcPr/>
          <w:p>
            <w:pPr>
              <w:pStyle w:val="Compact"/>
            </w:pPr>
            <w:r>
              <w:rPr>
                <w:sz w:val="16"/>
              </w:rPr>
              <w:t xml:space="preserve">by workflow¹²</w:t>
            </w:r>
          </w:p>
        </w:tc>
        <w:tc>
          <w:tcPr/>
          <w:p>
            <w:pPr>
              <w:pStyle w:val="Compact"/>
            </w:pPr>
            <w:r>
              <w:rPr>
                <w:sz w:val="16"/>
              </w:rPr>
              <w:t xml:space="preserve">DAIS</w:t>
            </w:r>
          </w:p>
        </w:tc>
        <w:tc>
          <w:tcPr/>
          <w:p>
            <w:pPr>
              <w:pStyle w:val="Compact"/>
            </w:pPr>
            <w:r>
              <w:rPr>
                <w:sz w:val="16"/>
              </w:rPr>
              <w:t xml:space="preserve">parametric</w:t>
            </w:r>
          </w:p>
        </w:tc>
        <w:tc>
          <w:tcPr/>
          <w:p>
            <w:pPr>
              <w:pStyle w:val="Compact"/>
            </w:pPr>
            <w:r>
              <w:rPr>
                <w:sz w:val="16"/>
              </w:rPr>
              <w:t xml:space="preserve">parametric</w:t>
            </w:r>
          </w:p>
        </w:tc>
        <w:tc>
          <w:tcPr/>
          <w:p>
            <w:pPr>
              <w:pStyle w:val="Compact"/>
            </w:pPr>
            <w:r>
              <w:rPr>
                <w:sz w:val="16"/>
              </w:rPr>
              <w:t xml:space="preserve">statistical fit</w:t>
            </w:r>
          </w:p>
        </w:tc>
        <w:tc>
          <w:tcPr/>
          <w:p>
            <w:pPr>
              <w:pStyle w:val="Compact"/>
            </w:pPr>
            <w:r>
              <w:rPr>
                <w:sz w:val="16"/>
              </w:rPr>
              <w:t xml:space="preserve">ODE tipping element</w:t>
            </w:r>
          </w:p>
        </w:tc>
        <w:tc>
          <w:tcPr/>
          <w:p>
            <w:pPr>
              <w:pStyle w:val="Compact"/>
            </w:pPr>
            <w:r>
              <w:rPr>
                <w:sz w:val="16"/>
              </w:rPr>
              <w:t xml:space="preserve">DAIS, recalibrated</w:t>
            </w:r>
          </w:p>
        </w:tc>
      </w:tr>
    </w:tbl>
    <w:p>
      <w:pPr>
        <w:pStyle w:val="BodyText"/>
      </w:pPr>
      <w:r>
        <w:t xml:space="preserve">⁷ Calibrated initial volume 42 cm (5–95% 32–52) at the 1850 start (Wigley and Raper's assumed 40 ± 10),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read by each figure,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means that the total achievable melt is determined by the change in temperature from preindustrial while the rate of melt is driven by the warming relative to the new equilibrium. Ladrillo also splits all glaciers into three reservoirs and drives them with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RGI region 19 — Antarctic and Subantarctic periphery.</w:t>
      </w:r>
      <w:r>
        <w:t xml:space="preserve"> </w:t>
      </w:r>
      <w:r>
        <w:t xml:space="preserve">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at its 1850 start, centres on 42 cm SLE (5–95% 32–52), inherited from Wigley and Raper (2005), whose assumed initial volume is 40 cm (2σ 30–50) — 37.7 cm remaining at 2000 after its own 4.0 cm of melt, of which only 0.7 cm falls before 1900;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measured from 1850; net of MAGICC's own 9.4 cm of melt over 1850–2000 that is roughly 26–36 cm at 2000, bracketing Farinotti.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3.</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76"/>
        <w:gridCol w:w="2455"/>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4.</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46"/>
        <w:gridCol w:w="1346"/>
        <w:gridCol w:w="1188"/>
        <w:gridCol w:w="1346"/>
        <w:gridCol w:w="110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14" Type="http://schemas.openxmlformats.org/officeDocument/2006/relationships/image" Target="media/rId14.png"/><Relationship Id="rId42" Type="http://schemas.openxmlformats.org/officeDocument/2006/relationships/image" Target="media/rId42.png"/><Relationship Id="rId36" Type="http://schemas.openxmlformats.org/officeDocument/2006/relationships/image" Target="media/rId36.png"/><Relationship Id="rId39" Type="http://schemas.openxmlformats.org/officeDocument/2006/relationships/image" Target="media/rId39.png"/><Relationship Id="rId18" Type="http://schemas.openxmlformats.org/officeDocument/2006/relationships/image" Target="media/rId18.png"/><Relationship Id="rId21" Type="http://schemas.openxmlformats.org/officeDocument/2006/relationships/image" Target="media/rId21.png"/><Relationship Id="rId24" Type="http://schemas.openxmlformats.org/officeDocument/2006/relationships/image" Target="media/rId24.png"/><Relationship Id="rId46" Type="http://schemas.openxmlformats.org/officeDocument/2006/relationships/image" Target="media/rId46.png"/><Relationship Id="rId30" Type="http://schemas.openxmlformats.org/officeDocument/2006/relationships/image" Target="media/rId30.png"/><Relationship Id="rId33" Type="http://schemas.openxmlformats.org/officeDocument/2006/relationships/image" Target="media/rId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2026-09-13T19:11:27Z</dcterms:created>
  <dcterms:modified xsi:type="dcterms:W3CDTF">2026-09-13T19:11:27Z</dcterms:modified>
</cp:coreProperties>
</file>

<file path=docProps/custom.xml><?xml version="1.0" encoding="utf-8"?>
<Properties xmlns="http://schemas.openxmlformats.org/officeDocument/2006/custom-properties" xmlns:vt="http://schemas.openxmlformats.org/officeDocument/2006/docPropsVTypes"/>
</file>