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l24"/>
    <w:p>
      <w:pPr>
        <w:pStyle w:val="Heading1"/>
      </w:pPr>
      <w:r>
        <w:t xml:space="preserve">Ladrillo (L24)</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w:t>
      </w:r>
    </w:p>
    <w:p>
      <w:pPr>
        <w:pStyle w:val="BlockText"/>
      </w:pPr>
      <w:r>
        <w:rPr>
          <w:b/>
          <w:bCs/>
        </w:rPr>
        <w:t xml:space="preserve">Vintage.</w:t>
      </w:r>
      <w:r>
        <w:t xml:space="preserve"> </w:t>
      </w:r>
      <w:r>
        <w:t xml:space="preserve">This document describes posterior</w:t>
      </w:r>
      <w:r>
        <w:t xml:space="preserve"> </w:t>
      </w:r>
      <w:r>
        <w:rPr>
          <w:b/>
          <w:bCs/>
        </w:rPr>
        <w:t xml:space="preserve">L24</w:t>
      </w:r>
      <w:r>
        <w:t xml:space="preserve">. Basis for every number below:</w:t>
      </w:r>
      <w:r>
        <w:t xml:space="preserve"> </w:t>
      </w:r>
      <w:r>
        <w:rPr>
          <w:b/>
          <w:bCs/>
        </w:rPr>
        <w:t xml:space="preserve">cm, re-referenced to 1995–2014</w:t>
      </w:r>
      <w:r>
        <w:t xml:space="preserv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w:t>
      </w:r>
      <w:r>
        <w:t xml:space="preserve"> </w:t>
      </w:r>
      <w:r>
        <w:rPr>
          <w:b/>
          <w:bCs/>
        </w:rPr>
        <w:t xml:space="preserve">Mengel-style equilibrium volume</w:t>
      </w:r>
      <w:r>
        <w:t xml:space="preserve"> </w:t>
      </w:r>
      <w:r>
        <w:rPr>
          <w:rStyle w:val="VerbatimChar"/>
        </w:rPr>
        <w:t xml:space="preserve">S_eq</w:t>
      </w:r>
      <w:r>
        <w:t xml:space="preserve"> </w:t>
      </w:r>
      <w:r>
        <w:rPr>
          <w:b/>
          <w:bCs/>
        </w:rPr>
        <w:t xml:space="preserve">driven by a Nauels-ν transient</w:t>
      </w:r>
      <w:r>
        <w:t xml:space="preserve">,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 (The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w:t>
      </w:r>
    </w:p>
    <w:p>
      <w:pPr>
        <w:pStyle w:val="BodyText"/>
      </w:pPr>
      <w:r>
        <w:rPr>
          <w:b/>
          <w:bCs/>
        </w:rPr>
        <w:t xml:space="preserve">Regrowth potential.</w:t>
      </w:r>
      <w:r>
        <w:t xml:space="preserve"> </w:t>
      </w:r>
      <w:r>
        <w:t xml:space="preserve">Neither BRICK nor FACTS can regrow glacial ice, but MAGICC and Ladrillo can. The law is</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w:t>
      </w:r>
      <w:r>
        <w:t xml:space="preserve"> </w:t>
      </w:r>
      <w:r>
        <w:rPr>
          <w:b/>
          <w:bCs/>
        </w:rPr>
        <w:t xml:space="preserve">one body with one response channel</w:t>
      </w:r>
      <w:r>
        <w:t xml:space="preserve">. Ladrillo replaces that with a</w:t>
      </w:r>
      <w:r>
        <w:t xml:space="preserve"> </w:t>
      </w:r>
      <w:r>
        <w:rPr>
          <w:b/>
          <w:bCs/>
        </w:rPr>
        <w:t xml:space="preserve">two-channel, two-basin sheet</w:t>
      </w:r>
      <w:r>
        <w:t xml:space="preserve">.</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w:t>
      </w:r>
      <w:r>
        <w:t xml:space="preserve"> </w:t>
      </w:r>
      <w:r>
        <w:rPr>
          <w:b/>
          <w:bCs/>
        </w:rPr>
        <w:t xml:space="preserve">active</w:t>
      </w:r>
      <w:r>
        <w:t xml:space="preserve"> </w:t>
      </w:r>
      <w:r>
        <w:t xml:space="preserve">basin (SW+CW+CE+SE+NW) and a</w:t>
      </w:r>
      <w:r>
        <w:t xml:space="preserve"> </w:t>
      </w:r>
      <w:r>
        <w:rPr>
          <w:b/>
          <w:bCs/>
        </w:rPr>
        <w:t xml:space="preserve">high</w:t>
      </w:r>
      <w:r>
        <w:t xml:space="preserve"> </w:t>
      </w:r>
      <w:r>
        <w:t xml:space="preserve">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exactly zero at SSP1-2.6 and SSP2-4.5 and 41.8 cm to the SSP5-8.5 total at 2300.</w:t>
      </w:r>
    </w:p>
    <w:p>
      <w:pPr>
        <w:pStyle w:val="BodyText"/>
      </w:pPr>
      <w:r>
        <w:rPr>
          <w:b/>
          <w:bCs/>
        </w:rPr>
        <w:t xml:space="preserve">Compared with BRICK 2.0 and MAGICC.</w:t>
      </w:r>
      <w:r>
        <w:t xml:space="preserve"> </w:t>
      </w:r>
      <w:r>
        <w:t xml:space="preserve">Greenland is the component where the hindcast gain over BRICK 2.0 is largest.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t xml:space="preserve">Additional or replaced observational inputs, relative to BRICK 2.0: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source</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The total, replacing the previous GMSL reconstruction.</w:t>
            </w:r>
          </w:p>
        </w:tc>
      </w:tr>
      <w:tr>
        <w:tc>
          <w:tcPr/>
          <w:p>
            <w:pPr>
              <w:pStyle w:val="Compact"/>
            </w:pPr>
            <w:r>
              <w:rPr>
                <w:b/>
                <w:bCs/>
              </w:rPr>
              <w:t xml:space="preserve">GlaMBIE</w:t>
            </w:r>
            <w:r>
              <w:t xml:space="preserve"> </w:t>
            </w:r>
            <w:r>
              <w:t xml:space="preserve">glacier series (2019 onward)</w:t>
            </w:r>
          </w:p>
        </w:tc>
        <w:tc>
          <w:tcPr/>
          <w:p>
            <w:pPr>
              <w:pStyle w:val="Compact"/>
            </w:pPr>
            <w:r>
              <w:t xml:space="preserve">The modern glacier rate, spliced onto Frederikse. It</w:t>
            </w:r>
            <w:r>
              <w:t xml:space="preserve"> </w:t>
            </w:r>
            <w:r>
              <w:rPr>
                <w:b/>
                <w:bCs/>
              </w:rPr>
              <w:t xml:space="preserve">includes</w:t>
            </w:r>
            <w:r>
              <w:t xml:space="preserve"> </w:t>
            </w:r>
            <w:r>
              <w:t xml:space="preserve">Antarctic-periphery melt where Frederikse excludes it, which is why R19 is a separate block.</w:t>
            </w:r>
          </w:p>
        </w:tc>
      </w:tr>
      <w:tr>
        <w:tc>
          <w:tcPr/>
          <w:p>
            <w:pPr>
              <w:pStyle w:val="Compact"/>
            </w:pPr>
            <w:r>
              <w:rPr>
                <w:b/>
                <w:bCs/>
              </w:rPr>
              <w:t xml:space="preserve">JPL GRACE / GRACE-FO mascons</w:t>
            </w:r>
          </w:p>
        </w:tc>
        <w:tc>
          <w:tcPr/>
          <w:p>
            <w:pPr>
              <w:pStyle w:val="Compact"/>
            </w:pPr>
            <w:r>
              <w:t xml:space="preserve">Land-water storage 2019–2026, which had been held flat; the closure σ is trend-extended over the same period.</w:t>
            </w:r>
          </w:p>
        </w:tc>
      </w:tr>
      <w:tr>
        <w:tc>
          <w:tcPr/>
          <w:p>
            <w:pPr>
              <w:pStyle w:val="Compact"/>
            </w:pPr>
            <w:r>
              <w:rPr>
                <w:b/>
                <w:bCs/>
              </w:rPr>
              <w:t xml:space="preserve">Mouginot</w:t>
            </w:r>
            <w:r>
              <w:t xml:space="preserve"> </w:t>
            </w:r>
            <w:r>
              <w:t xml:space="preserve">Greenland sector shares</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The absolute inventory and the pre-observational flow, neither of which the 20th-century transient identifies on its own.</w:t>
            </w:r>
          </w:p>
        </w:tc>
      </w:tr>
      <w:tr>
        <w:tc>
          <w:tcPr/>
          <w:p>
            <w:pPr>
              <w:pStyle w:val="Compact"/>
            </w:pPr>
            <w:r>
              <w:rPr>
                <w:b/>
                <w:bCs/>
              </w:rPr>
              <w:t xml:space="preserve">CMIP6 regional amplification</w:t>
            </w:r>
            <w:r>
              <w:t xml:space="preserve"> </w:t>
            </w:r>
            <w:r>
              <w:t xml:space="preserve">(34–41 models)</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t xml:space="preserve">The seven freed geometry parameters (below).</w:t>
            </w:r>
          </w:p>
        </w:tc>
      </w:tr>
    </w:tbl>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 CMIP7 history to 2023)</w:t>
      </w:r>
      <w:r>
        <w:t xml:space="preserve">.</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Three Antarctic changes carry the improvement.</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This change fixed the pre-1990 Antarctic melt: with the geometry fixed at the prior medoid, BRICK 2.0 draws far more early-20th-century Antarctic mass loss than the record supports, while Ladrillo tracks the observations to within a hundredth of a centimetre.</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constrained by observation — the posterior is very close to the prior —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that amplification would otherwise buy. These are regression slopes measured across the posterior draws, not one-at-a-time perturbations, so they carry the posterior's own parameter correlations.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1900–2026, against the calibration targets.</w:t>
      </w:r>
    </w:p>
    <w:p>
      <w:pPr>
        <w:pStyle w:val="BodyText"/>
      </w:pPr>
      <w:r>
        <w:t xml:space="preserve">RMSE ratio against BRICK 2.0 —</w:t>
      </w:r>
      <w:r>
        <w:t xml:space="preserve"> </w:t>
      </w:r>
      <w:r>
        <w:rPr>
          <w:b/>
          <w:bCs/>
        </w:rPr>
        <w:t xml:space="preserve">below 1 means Ladrillo is closer to the observations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0.005</w:t>
            </w:r>
          </w:p>
        </w:tc>
        <w:tc>
          <w:tcPr/>
          <w:p>
            <w:pPr>
              <w:pStyle w:val="Compact"/>
            </w:pPr>
            <w:r>
              <w:rPr>
                <w:b/>
                <w:bCs/>
              </w:rPr>
              <w:t xml:space="preserve">0.010</w:t>
            </w:r>
          </w:p>
        </w:tc>
        <w:tc>
          <w:tcPr/>
          <w:p>
            <w:pPr>
              <w:pStyle w:val="Compact"/>
            </w:pPr>
            <w:r>
              <w:t xml:space="preserve">0.555</w:t>
            </w:r>
          </w:p>
        </w:tc>
        <w:tc>
          <w:tcPr/>
          <w:p>
            <w:pPr>
              <w:pStyle w:val="Compact"/>
            </w:pPr>
            <w:r>
              <w:rPr>
                <w:b/>
                <w:bCs/>
              </w:rPr>
              <w:t xml:space="preserve">0.027</w:t>
            </w:r>
          </w:p>
        </w:tc>
      </w:tr>
      <w:tr>
        <w:tc>
          <w:tcPr/>
          <w:p>
            <w:pPr>
              <w:pStyle w:val="Compact"/>
            </w:pPr>
            <w:r>
              <w:t xml:space="preserve">Greenland</w:t>
            </w:r>
          </w:p>
        </w:tc>
        <w:tc>
          <w:tcPr/>
          <w:p>
            <w:pPr>
              <w:pStyle w:val="Compact"/>
            </w:pPr>
            <w:r>
              <w:rPr>
                <w:b/>
                <w:bCs/>
              </w:rPr>
              <w:t xml:space="preserve">0.103</w:t>
            </w:r>
          </w:p>
        </w:tc>
        <w:tc>
          <w:tcPr/>
          <w:p>
            <w:pPr>
              <w:pStyle w:val="Compact"/>
            </w:pPr>
            <w:r>
              <w:rPr>
                <w:b/>
                <w:bCs/>
              </w:rPr>
              <w:t xml:space="preserve">0.054</w:t>
            </w:r>
          </w:p>
        </w:tc>
        <w:tc>
          <w:tcPr/>
          <w:p>
            <w:pPr>
              <w:pStyle w:val="Compact"/>
            </w:pPr>
            <w:r>
              <w:t xml:space="preserve">0.272</w:t>
            </w:r>
          </w:p>
        </w:tc>
        <w:tc>
          <w:tcPr/>
          <w:p>
            <w:pPr>
              <w:pStyle w:val="Compact"/>
            </w:pPr>
            <w:r>
              <w:rPr>
                <w:b/>
                <w:bCs/>
              </w:rPr>
              <w:t xml:space="preserve">0.082</w:t>
            </w:r>
          </w:p>
        </w:tc>
      </w:tr>
      <w:tr>
        <w:tc>
          <w:tcPr/>
          <w:p>
            <w:pPr>
              <w:pStyle w:val="Compact"/>
            </w:pPr>
            <w:r>
              <w:t xml:space="preserve">Glaciers</w:t>
            </w:r>
          </w:p>
        </w:tc>
        <w:tc>
          <w:tcPr/>
          <w:p>
            <w:pPr>
              <w:pStyle w:val="Compact"/>
            </w:pPr>
            <w:r>
              <w:rPr>
                <w:b/>
                <w:bCs/>
              </w:rPr>
              <w:t xml:space="preserve">0.361</w:t>
            </w:r>
          </w:p>
        </w:tc>
        <w:tc>
          <w:tcPr/>
          <w:p>
            <w:pPr>
              <w:pStyle w:val="Compact"/>
            </w:pPr>
            <w:r>
              <w:t xml:space="preserve">1.027</w:t>
            </w:r>
          </w:p>
        </w:tc>
        <w:tc>
          <w:tcPr/>
          <w:p>
            <w:pPr>
              <w:pStyle w:val="Compact"/>
            </w:pPr>
            <w:r>
              <w:rPr>
                <w:b/>
                <w:bCs/>
              </w:rPr>
              <w:t xml:space="preserve">0.355</w:t>
            </w:r>
          </w:p>
        </w:tc>
        <w:tc>
          <w:tcPr/>
          <w:p>
            <w:pPr>
              <w:pStyle w:val="Compact"/>
            </w:pPr>
            <w:r>
              <w:rPr>
                <w:b/>
                <w:bCs/>
              </w:rPr>
              <w:t xml:space="preserve">0.372</w:t>
            </w:r>
          </w:p>
        </w:tc>
      </w:tr>
      <w:tr>
        <w:tc>
          <w:tcPr/>
          <w:p>
            <w:pPr>
              <w:pStyle w:val="Compact"/>
            </w:pPr>
            <w:r>
              <w:t xml:space="preserve">Thermal expansion</w:t>
            </w:r>
          </w:p>
        </w:tc>
        <w:tc>
          <w:tcPr/>
          <w:p>
            <w:pPr>
              <w:pStyle w:val="Compact"/>
            </w:pPr>
            <w:r>
              <w:t xml:space="preserve">1.150</w:t>
            </w:r>
          </w:p>
        </w:tc>
        <w:tc>
          <w:tcPr/>
          <w:p>
            <w:pPr>
              <w:pStyle w:val="Compact"/>
            </w:pPr>
            <w:r>
              <w:t xml:space="preserve">1.137</w:t>
            </w:r>
          </w:p>
        </w:tc>
        <w:tc>
          <w:tcPr/>
          <w:p>
            <w:pPr>
              <w:pStyle w:val="Compact"/>
            </w:pPr>
            <w:r>
              <w:t xml:space="preserve">1.462</w:t>
            </w:r>
          </w:p>
        </w:tc>
        <w:tc>
          <w:tcPr/>
          <w:p>
            <w:pPr>
              <w:pStyle w:val="Compact"/>
            </w:pPr>
            <w:r>
              <w:t xml:space="preserve">1.236</w:t>
            </w:r>
          </w:p>
        </w:tc>
      </w:tr>
      <w:tr>
        <w:tc>
          <w:tcPr/>
          <w:p>
            <w:pPr>
              <w:pStyle w:val="Compact"/>
            </w:pPr>
            <w:r>
              <w:rPr>
                <w:b/>
                <w:bCs/>
              </w:rPr>
              <w:t xml:space="preserve">Total</w:t>
            </w:r>
          </w:p>
        </w:tc>
        <w:tc>
          <w:tcPr/>
          <w:p>
            <w:pPr>
              <w:pStyle w:val="Compact"/>
            </w:pPr>
            <w:r>
              <w:rPr>
                <w:b/>
                <w:bCs/>
              </w:rPr>
              <w:t xml:space="preserve">0.411</w:t>
            </w:r>
          </w:p>
        </w:tc>
        <w:tc>
          <w:tcPr/>
          <w:p>
            <w:pPr>
              <w:pStyle w:val="Compact"/>
            </w:pPr>
            <w:r>
              <w:rPr>
                <w:b/>
                <w:bCs/>
              </w:rPr>
              <w:t xml:space="preserve">0.277</w:t>
            </w:r>
          </w:p>
        </w:tc>
        <w:tc>
          <w:tcPr/>
          <w:p>
            <w:pPr>
              <w:pStyle w:val="Compact"/>
            </w:pPr>
            <w:r>
              <w:t xml:space="preserve">1.128</w:t>
            </w:r>
          </w:p>
        </w:tc>
        <w:tc>
          <w:tcPr/>
          <w:p>
            <w:pPr>
              <w:pStyle w:val="Compact"/>
            </w:pPr>
            <w:r>
              <w:rPr>
                <w:b/>
                <w:bCs/>
              </w:rPr>
              <w:t xml:space="preserve">0.373</w:t>
            </w:r>
          </w:p>
        </w:tc>
      </w:tr>
    </w:tbl>
    <w:p>
      <w:pPr>
        <w:pStyle w:val="BodyText"/>
      </w:pPr>
      <w:r>
        <w:rPr>
          <w:i/>
          <w:iCs/>
        </w:rPr>
        <w:t xml:space="preserve">Thermal expansion in both models is driven by FaIR's full-depth ocean heat against a 0–2000 m target, so this row measures Ladrillo's fit relative to BRICK 2.0, not absolute accuracy — see the depth-scope discussion below.</w:t>
      </w:r>
    </w:p>
    <w:p>
      <w:pPr>
        <w:pStyle w:val="BodyText"/>
      </w:pPr>
      <w:r>
        <w:t xml:space="preserve">Ladrillo is closer to the observations than BRICK 2.0 on every ice component particularly in early eras. Cumulative total sea level rise, 1920–2024: observed +19.45 cm, Ladrillo +18.83, BRICK 2.0 +22.09 — Ladrillo undershoots by 0.6 cm, BRICK overshoots by 2.6. Over the shorter, more recent window — the level at 2024 relative to the 1995–2005 calibration baseline — both models run slightly high instead: observed +7.81 cm, Ladrillo +8.55 (+0.74), BRICK 2.0 +8.45 (+0.64), with IGCC's independent GMSL estimate at +8.33 cm in between.</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and the cell is still a FAIL even at that bound. A depth-resolved coefficient was tested and failed, though that may reflect observational uncertainty — Cheng and IGCC disagree by ~50% on 1950–1993 ocean heat gain.</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009269"/>
            <wp:effectExtent b="0" l="0" r="0" t="0"/>
            <wp:docPr descr="Glacier response on the declining markers" title="" id="31" name="Picture"/>
            <a:graphic>
              <a:graphicData uri="http://schemas.openxmlformats.org/drawingml/2006/picture">
                <pic:pic>
                  <pic:nvPicPr>
                    <pic:cNvPr descr="figures/vv_gsic_wr_vs_ladrillo_2300.png" id="32" name="Picture"/>
                    <pic:cNvPicPr>
                      <a:picLocks noChangeArrowheads="1" noChangeAspect="1"/>
                    </pic:cNvPicPr>
                  </pic:nvPicPr>
                  <pic:blipFill>
                    <a:blip r:embed="rId30"/>
                    <a:stretch>
                      <a:fillRect/>
                    </a:stretch>
                  </pic:blipFill>
                  <pic:spPr bwMode="auto">
                    <a:xfrm>
                      <a:off x="0" y="0"/>
                      <a:ext cx="5334000" cy="5009269"/>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Glacier contribution over time, comparing Ladrillo to BRICK2.0. This is where glacier regrowth is visible in Ladrillo for overshoot scenarios, whereas the Wigley-Raper formulation continues melting.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where only MAGICC-SLR and BRICK 2.0 extend.</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24c92579f6713723bf9ed7066aed63ccd1e3f3f"/>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By 2300 it separates upward from BRICK 2.0 (due largely to Antarctic threshold behavior) but stays below MAGICC-SLR's steeper rise (439 cm vs. 570 cm, median).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and FACTS's 148. On spread it is narrower than both BRICK 2.0 and FACTS on every component; MAGICC-SLR is the narrow outlier throughout (2300 total 5–95% width 67 cm against Ladrillo's 163, BRICK 2.0's 182 and FACTS's 259), and it is only against MAGICC-SLR that Ladrillo's Antarctic and thermal-expansion bands are the wider ones.</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 and about ¾ of that is model structure and ¼ the climate module.</w:t>
      </w:r>
      <w:r>
        <w:t xml:space="preserve"> </w:t>
      </w:r>
      <w:r>
        <w:t xml:space="preserve">Measured on realised regrowth (peak-to-2300) at vvLN, the marker where regrowth is largest: MAGICC regrows 8.59 cm against Ladrillo's 0.18 cm, and driving Ladrillo's unchanged module with MAGICC's own climate recovers 2.20 cm of that gap — leaving 76% to structure and 24% to the climate driver. Pooled across the five markers with a real gap the structure share is higher still, 87%. Comparing instead the two models’ equilibrium laws directly — both evaluated at MAGICC’s own temperature, so climate differences are removed — Ladrillo’s committed equilibrium regrowth is somewhat</w:t>
      </w:r>
      <w:r>
        <w:t xml:space="preserve"> </w:t>
      </w:r>
      <w:r>
        <w:rPr>
          <w:i/>
          <w:iCs/>
        </w:rPr>
        <w:t xml:space="preserve">less</w:t>
      </w:r>
      <w:r>
        <w:t xml:space="preserve"> </w:t>
      </w:r>
      <w:r>
        <w:t xml:space="preserve">than MAGICC’s on every marker where the comparison is possible (ratio 0.06–0.86 across three markers). At the two coldest markers no comparison can be made at all: MAGICC’s own tabulated equilibrium curve is undefined below the pre-industrial state, and both markers cool past that floor by 2300. So the gap to MAGICC is not purely a rate effect; the SLOWP and R19 regions’ long timescales (~275 yr, ~465 yr) compound a somewhat smaller equilibrium target, not offset it.</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2026-09-03T18:45:05Z</dcterms:created>
  <dcterms:modified xsi:type="dcterms:W3CDTF">2026-09-03T18:45:05Z</dcterms:modified>
</cp:coreProperties>
</file>

<file path=docProps/custom.xml><?xml version="1.0" encoding="utf-8"?>
<Properties xmlns="http://schemas.openxmlformats.org/officeDocument/2006/custom-properties" xmlns:vt="http://schemas.openxmlformats.org/officeDocument/2006/docPropsVTypes"/>
</file>