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 Over the shorter, more recent window — the level at 2024 relative to the 1995–2005 calibration baseline — both models run slightly high instead: observed +7.81 cm, Ladrillo +8.55 (+0.74), BRICK 2.0 +8.45 (+0.64), with IGCC's independent GMSL estimate at +8.33 cm in between.</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Its Antarctic band is wider than other models, while Greenland, glaciers and thermal expansion are all narrower there.</w:t>
      </w:r>
    </w:p>
    <w:p>
      <w:pPr>
        <w:pStyle w:val="BodyText"/>
      </w:pPr>
      <w:r>
        <w:rPr>
          <w:b/>
          <w:bCs/>
        </w:rPr>
        <w:t xml:space="preserve">Peak-and-decline scenarios.</w:t>
      </w:r>
      <w:r>
        <w:t xml:space="preserve"> </w:t>
      </w:r>
      <w:r>
        <w:t xml:space="preserve">The glacier change is evident here because it allows regrowth, though that regrowth is modest relative to total SLR changes (about 2.2 cm in 2300).</w:t>
      </w:r>
    </w:p>
    <w:p>
      <w:pPr>
        <w:pStyle w:val="BodyText"/>
      </w:pPr>
      <w:r>
        <w:rPr>
          <w:b/>
          <w:bCs/>
        </w:rPr>
        <w:t xml:space="preserve">MAGICC regrows substantially more than Ladrillo, and about ¾ of that is model structure and ¼ the climate module.</w:t>
      </w:r>
      <w:r>
        <w:t xml:space="preserve"> </w:t>
      </w:r>
      <w:r>
        <w:t xml:space="preserve">Comparing the two models’ equilibrium laws directly — both evaluated at MAGICC’s own temperature, so climate differences are removed — Ladrillo’s committed equilibrium regrowth is somewhat</w:t>
      </w:r>
      <w:r>
        <w:t xml:space="preserve"> </w:t>
      </w:r>
      <w:r>
        <w:rPr>
          <w:i/>
          <w:iCs/>
        </w:rPr>
        <w:t xml:space="preserve">less</w:t>
      </w:r>
      <w:r>
        <w:t xml:space="preserve"> </w:t>
      </w:r>
      <w:r>
        <w:t xml:space="preserve">than MAGICC’s on every marker where the comparison is possible (ratio 0.06–0.86 across three markers). At the two coldest markers no comparison can be made at all: MAGICC’s own tabulated equilibrium curve is undefined below the pre-industrial state, and both markers cool past that floor by 2300. So the gap to MAGICC is not purely a rate effect; the SLOWP and R19 regions’ long timescales (~275 yr, ~465 yr) compound a somewhat smaller equilibrium target, not offset it.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2026-09-03T17:47:55Z</dcterms:created>
  <dcterms:modified xsi:type="dcterms:W3CDTF">2026-09-03T17:47:55Z</dcterms:modified>
</cp:coreProperties>
</file>

<file path=docProps/custom.xml><?xml version="1.0" encoding="utf-8"?>
<Properties xmlns="http://schemas.openxmlformats.org/officeDocument/2006/custom-properties" xmlns:vt="http://schemas.openxmlformats.org/officeDocument/2006/docPropsVTypes"/>
</file>