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 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as the only SLEIP models which both runs 1900-2300 and matches observed total sea level. MAGICC-SLR and FRISIA start their ice sheets in 1990 and 2002,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one place that observations cannot inform, namely a Greenland commitment above a threshold, informed by SICOPOLIS. Ladrillo also extended some of BRICK’s observational constraints (an Antarctic likelihood from 1900 rather than IMBIE's 1992–2017; Dangendorf, GlaMBIE, GRACE and Mouginot added), updated the Antarctic global-to-local amplification from the paleo-equilibrium ratio to a CMIP6 based one, added global-to-local amplification for Greenland and the glacier regions, and is calibrated to a current version of FaIR 2.2.4 (fair-calibrate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the above-threshold discharge channel (ISMIP6/SICOPOLIS) and the Antarctic amplification prior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included in the Greenland ice sheet).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Both hindcast arms are reproducible: every random seed is fixed and is recorded inside the output file read by each figure, so any number in this document can be regenerated precisely.</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warmer than its preindustrial equilibrium.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Ice volume at 2000: 12.7 ± 3.3 cm SLE (Farinotti 2019).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Ice volume at 2000: 9.4 ± 2.4 cm SLE. Smaller, faster-responding bodies with a smaller amplification (prior 1.45). This block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Ice volume at 2000: 6.9 ± 1.8 cm SLE.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which is another reason to separate this region.</w:t>
      </w:r>
    </w:p>
    <w:p>
      <w:pPr>
        <w:pStyle w:val="BodyText"/>
      </w:pPr>
      <w:r>
        <w:t xml:space="preserve">These three blocks cover 18 of the 19 RGI regions; RGI 05, the Greenland Periphery, is excluded, as it is not included in Frederikse's glacier estimate but it is included in the Greenland ice-sheet module.</w:t>
      </w:r>
    </w:p>
    <w:p>
      <w:pPr>
        <w:pStyle w:val="BodyText"/>
      </w:pPr>
      <w:r>
        <w:rPr>
          <w:b/>
          <w:bCs/>
        </w:rPr>
        <w:t xml:space="preserve">Compared with other emulators.</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Ladrillo constrains the remaining glacier ice at 2000 to 29.0 ± 6.0 cm SLE based on Farinotti 2019 excluding RGI region 5 (Millan 2022 has similar glacier ice numbers). The full-RGI Farinotti value is 32.4 ± 8.4 cm. Other emulators' inventories at 2000: BRICK 2.0 has about 38 cm of ice remaining. FACTS's AR5 glacier module caps cumulative melt at 31.6 cm SLE, which every SSP5-8.5 sample reaches by 2300; MAGICC's equilibrium curves imply roughly 26–36 cm across their 15 tunes, after about 9 cm of melt over 1850–2000. These figures may not be fully comparable, since not every model covers all 19 RGI regions (e.g., MAGICC's Marzeion 2012 basis omits the Antarctic periphery (RGI 19) and Ladrillo the Greenland periphery (RGI 05)).</w:t>
      </w:r>
    </w:p>
    <w:p>
      <w:pPr>
        <w:pStyle w:val="BodyText"/>
      </w:pPr>
      <w:r>
        <w:rPr>
          <w:b/>
          <w:bCs/>
        </w:rPr>
        <w:t xml:space="preserve">Regrowth potential.</w:t>
      </w:r>
      <w:r>
        <w:t xml:space="preserve"> </w:t>
      </w:r>
      <w:r>
        <w:t xml:space="preserve">Ladrillo does have the potential to regrow glacier ice after cooling: MAGICC and SURFER are the only two sea level emulators from SLEIP that can do the same.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(SMB / dynamic discharge).</w:t>
      </w:r>
      <w:r>
        <w:t xml:space="preserve"> </w:t>
      </w:r>
      <w:r>
        <w:t xml:space="preserve">Greenland melt occurs through surface-mass-balance response (50 year relaxation and present-day temperatures) and outlet/dynamic discharge (170 year relaxation). Two channels allow for that partition.</w:t>
      </w:r>
    </w:p>
    <w:p>
      <w:pPr>
        <w:pStyle w:val="BodyText"/>
      </w:pPr>
      <w:r>
        <w:rPr>
          <w:b/>
          <w:bCs/>
        </w:rPr>
        <w:t xml:space="preserve">Two basins.</w:t>
      </w:r>
      <w:r>
        <w:t xml:space="preserve"> </w:t>
      </w:r>
      <w:r>
        <w:t xml:space="preserve">The sheet is split into an active basin (SW+CW+CE+SE+NW) and a high basin (NO+NE), each carrying its own SMB/discharge channel pair, with sector shares scored against Mouginot.</w:t>
      </w:r>
    </w:p>
    <w:p>
      <w:pPr>
        <w:pStyle w:val="BodyText"/>
      </w:pPr>
      <w:r>
        <w:rPr>
          <w:b/>
          <w:bCs/>
        </w:rPr>
        <w:t xml:space="preserve">Amplification.</w:t>
      </w:r>
      <w:r>
        <w:t xml:space="preserve"> </w:t>
      </w:r>
      <w:r>
        <w:t xml:space="preserve">The ratio of Greenland warming to global warming is centred on its observed level (1.92, with a prior width taken from the CMIP6 spread) and falls with warming in proportion to the CMIP6 ratio, which declines from 1.50 to 1.28 over 0.75–2.75 K of global warming; holding it constant instead would raise Greenland by an additional 1 cm (SSP1-2.6, 2300) to 9 cm (SSP5-8.5, 2300) on the fixed-driver arm.</w:t>
      </w:r>
    </w:p>
    <w:p>
      <w:pPr>
        <w:pStyle w:val="BodyText"/>
      </w:pPr>
      <w:r>
        <w:rPr>
          <w:b/>
          <w:bCs/>
        </w:rPr>
        <w:t xml:space="preserve">Above-threshold discharge channel.</w:t>
      </w:r>
      <w:r>
        <w:t xml:space="preserve"> </w:t>
      </w:r>
      <w:r>
        <w:t xml:space="preserve">A third discharge channel on the high basin, enabling another melt mechanism above a threshold temperature: V = 564 cm, τ = 800 yr, onset 4.69 K, two stages, whole-sheet. It has zero effect below the threshold.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 Without it, Greenland's SSP5-8.5 to SSP2-4.5 ratio at 2300 is 2.6, against 7.9–31.9 across the process-model literature.</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surface-mass-balance channel responds to Greenland's local warming of about 1.2 °C during 1920–45 (in contrast to 0.2 °C globally), then local cooling through 1990 while the globe warmed. Meanwhile, the discharge channel is a steadier source of melt. MAGICC similarly splits Greenland into SMB and SID and parameterises against SICOPOLIS.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08"/>
        <w:gridCol w:w="4039"/>
        <w:gridCol w:w="2772"/>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 on the Antarctic amplification; the warming-dependence and prior width of the Greenland amplification (its level is observed). The glacier-region amplifications are fitted to observations; the CMIP6 glacier panel served as a check only.</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(an effect of only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(see Figure 1 and Table 4). A key driver of differences between BRICK and Ladrillo is the observational constraint, since BRICK’s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DAIS maps global to Antarctic surface temperature through one ratio. Stock DAIS hard-codes 1.196, the inverted paleo regression which is an equilibrium amplification factor. Ladrillo samples the transient ratio with a prior of N(1.09, 0.180), equal to the CMIP6 ratio and between-model spread. The parameter’s leverage is strongly scenario-dependent: a one-sigma change moves Antarctic sea level at 2300 by about 58 cm on SSP2-4.5 (roughly 23% of that scenario's total) but only about 24 cm on SSP5-8.5 (under 5%), because SSP5-8.5 is already past the thresholds where amplification matters. Reverting to DAIS's 1.196 on the shipped posterior (fixed-driver arm) adds 17 cm to the SSP2-4.5 total at 2100 and 42 cm at 2300 (9 and 22 cm on SSP5-8.5).</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shift a 0–2000 m observation (IGCC deep-ocean heat times the observed upper-ocean expansion coefficient; an upper bound). Land-water storage is observational — neither model predicts it, so the land-water panel shows the observed series alone and both totals include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yields 0.374 cm/yr and BRICK 2.0 0.389 against 0.392 for the observational target and 0.399 for IGCC (same linear fit, same window).</w:t>
      </w:r>
    </w:p>
    <w:p>
      <w:pPr>
        <w:pStyle w:val="BodyText"/>
      </w:pPr>
      <w:r>
        <w:rPr>
          <w:b/>
          <w:bCs/>
        </w:rPr>
        <w:t xml:space="preserve">For thermal expansion Ladrillo overshoots, and the cause is FaIR’s ocean heat.</w:t>
      </w:r>
      <w:r>
        <w:t xml:space="preserve"> </w:t>
      </w:r>
      <w:r>
        <w:t xml:space="preserve">In both Ladrillo and BRICK thermal expansion is exactly proportional to ocean heat, despite Ladrillo's expansion coefficient being within 3% of the value the observations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almost 40% of Ladrillo's 0.8 cm excess). The remaining 1.10× is FaIR's full-depth heat uptake exceeding IGCC's full-depth estimate. Driving Ladrillo with observed 0–2000 m ocean heat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We report comparisons to both the van Vuuren scenarios and the SSPs. All Ladrillo bands are the joint (posterior × FaIR-forcing) arm. Bars are 17–83% (thick) and 5–95% (thin). Ladrillo, BRICK, and FACTS have the same source of climate uncertainty (Ladrillo and BRICK 2.0 from the 841 FaIR configs with the same cubes, splice pivot, and pair seed; FACTS from 200 of the same configs, plus its modules' own sampling) whereas MAGICC-SLR relies on its own 600-member AR6 ensemble. FACTS is reported relative to base year 2005, treated as comparable to the 1995–2014 mean. FACTS's three emulandice workflows (Gaussian-process emulators of ISMIP6 and GlacierMIP2 output) end in 2100 by construction, so they appear only at that horizon on both scenario sets; its four other workflows run to 2300.</w:t>
      </w:r>
    </w:p>
    <w:p>
      <w:pPr>
        <w:pStyle w:val="BodyText"/>
      </w:pPr>
      <w:r>
        <w:t xml:space="preserve">On glaciers, Ladrillo and MAGICC-SLR share the Nauels 2017 transient, so differences between Ladrillo and MAGICC reflect differences in reservoir count, driver, and posterior; BRICK 2.0 and FACTS have independent modules. For Greenland all four formulations differ. For Antarctica Ladrillo and BRICK 2.0 share DAIS for the ice sheet though with different calibration sets, while FACTS (LARMIP, DeConto, Bamber, AR5 and emulated ice-sheet modules) and MAGICC-SLR differ. Ladrillo and BRICK 2.0 both use a proportional relationship between thermal expansion and ocean heat while FACTS uses a two-layer expansion model and MAGICC-SLR uses a 40-layer approach.</w:t>
      </w:r>
    </w:p>
    <w:p>
      <w:pPr>
        <w:pStyle w:val="BodyText"/>
      </w:pPr>
      <w:r>
        <w:drawing>
          <wp:inline>
            <wp:extent cx="5334000" cy="2607733"/>
            <wp:effectExtent b="0" l="0" r="0" t="0"/>
            <wp:docPr descr="van Vuuren scenario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scenarios at 2100, by component. Each of FACTS's unique modules is shown; the Total panel shows its seven workflow totals as one bracket spanning their medians (thin line: the union of their 5–95%). The three emulandice workflows end at 2100; the other four differ only in the Antarctic module. At 2150 and 2300 (FIGs 3, 4 and 9) only FACTS's climate-driven modules are drawn.</w:t>
      </w:r>
    </w:p>
    <w:p>
      <w:pPr>
        <w:pStyle w:val="BodyText"/>
      </w:pPr>
      <w:r>
        <w:drawing>
          <wp:inline>
            <wp:extent cx="5334000" cy="2607733"/>
            <wp:effectExtent b="0" l="0" r="0" t="0"/>
            <wp:docPr descr="van Vuuren scenario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scenario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scenarios, joint band, Ladrillo relative to BRICK 2.0.</w:t>
      </w:r>
    </w:p>
    <w:p>
      <w:pPr>
        <w:pStyle w:val="BodyText"/>
      </w:pPr>
      <w:r>
        <w:drawing>
          <wp:inline>
            <wp:extent cx="5334000" cy="5090832"/>
            <wp:effectExtent b="0" l="0" r="0" t="0"/>
            <wp:docPr descr="Glacier response on the declining scenario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090832"/>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scenarios: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scenarios, each drawn twice — on the shared FaIR driver (filled) and on MAGICC's own 600-member climate (open), with the connector showing the swap — against MAGICC-SLR. Same posterior, above-threshold channel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For the High scenario, the three models are fairly similar at 2100 (Ladrillo 72 cm, BRICK 2.0 82, MAGICC-SLR 62). By 2300 Ladrillo and BRICK 2.0 sit together (439 and 414 cm, median) well below MAGICC-SLR (570 cm), and the gap is due to Antarctica: 255 and 248 cm against MAGICC's 382. Driving both on MAGICC's own climate actually decreases their totals by 15–22 cm mainly due to thermal expansion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0.0105, sd 0.0033 in Ladrillo; 0.0104, 0.0036 in BRICK 2.0),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scenario’s peak to 2300, it reaches only 0.18 cm at vvLN and 0.13 cm at vvML, and is essentially nil on the other scenarios.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2026-09-14T14:09:53Z</dcterms:created>
  <dcterms:modified xsi:type="dcterms:W3CDTF">2026-09-14T14:09:53Z</dcterms:modified>
</cp:coreProperties>
</file>

<file path=docProps/custom.xml><?xml version="1.0" encoding="utf-8"?>
<Properties xmlns="http://schemas.openxmlformats.org/officeDocument/2006/custom-properties" xmlns:vt="http://schemas.openxmlformats.org/officeDocument/2006/docPropsVTypes"/>
</file>