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8EF0A" w14:textId="475A97D3" w:rsidR="00523CC2" w:rsidRPr="00E967CF" w:rsidRDefault="00E7388A" w:rsidP="00205120">
      <w:pPr>
        <w:pStyle w:val="Title"/>
        <w:rPr>
          <w:lang w:val="en-GB"/>
        </w:rPr>
      </w:pPr>
      <w:bookmarkStart w:id="0" w:name="OLE_LINK2"/>
      <w:r w:rsidRPr="00E967CF">
        <w:rPr>
          <w:lang w:val="en-GB"/>
        </w:rPr>
        <w:t>The m</w:t>
      </w:r>
      <w:r w:rsidR="00080A7A" w:rsidRPr="00E967CF">
        <w:rPr>
          <w:lang w:val="en-GB"/>
        </w:rPr>
        <w:t>icrodialysis</w:t>
      </w:r>
      <w:r w:rsidR="00C91199" w:rsidRPr="00E967CF">
        <w:rPr>
          <w:lang w:val="en-GB"/>
        </w:rPr>
        <w:t>-</w:t>
      </w:r>
      <w:r w:rsidR="00080A7A" w:rsidRPr="00E967CF">
        <w:rPr>
          <w:lang w:val="en-GB"/>
        </w:rPr>
        <w:t>derived</w:t>
      </w:r>
      <w:r w:rsidRPr="00E967CF">
        <w:rPr>
          <w:lang w:val="en-GB"/>
        </w:rPr>
        <w:t xml:space="preserve"> </w:t>
      </w:r>
      <w:r w:rsidR="0062706B" w:rsidRPr="00E967CF">
        <w:rPr>
          <w:lang w:val="en-GB"/>
        </w:rPr>
        <w:t>lactate</w:t>
      </w:r>
      <w:r w:rsidR="00C91199" w:rsidRPr="00E967CF">
        <w:rPr>
          <w:lang w:val="en-GB"/>
        </w:rPr>
        <w:t>–</w:t>
      </w:r>
      <w:r w:rsidR="0062706B" w:rsidRPr="00E967CF">
        <w:rPr>
          <w:lang w:val="en-GB"/>
        </w:rPr>
        <w:t>pyruvate</w:t>
      </w:r>
      <w:r w:rsidR="00080A7A" w:rsidRPr="00E967CF">
        <w:rPr>
          <w:lang w:val="en-GB"/>
        </w:rPr>
        <w:t xml:space="preserve"> gradient </w:t>
      </w:r>
      <w:r w:rsidRPr="00E967CF">
        <w:rPr>
          <w:lang w:val="en-GB"/>
        </w:rPr>
        <w:t>indicates</w:t>
      </w:r>
      <w:r w:rsidR="0062706B" w:rsidRPr="00E967CF">
        <w:rPr>
          <w:lang w:val="en-GB"/>
        </w:rPr>
        <w:t xml:space="preserve"> anaerobic activity </w:t>
      </w:r>
      <w:r w:rsidR="0001198A" w:rsidRPr="00E967CF">
        <w:rPr>
          <w:lang w:val="en-GB"/>
        </w:rPr>
        <w:t>after</w:t>
      </w:r>
      <w:r w:rsidR="0062706B" w:rsidRPr="00E967CF">
        <w:rPr>
          <w:lang w:val="en-GB"/>
        </w:rPr>
        <w:t xml:space="preserve"> </w:t>
      </w:r>
      <w:r w:rsidRPr="00E967CF">
        <w:rPr>
          <w:lang w:val="en-GB"/>
        </w:rPr>
        <w:t>brain</w:t>
      </w:r>
      <w:r w:rsidR="00080A7A" w:rsidRPr="00E967CF">
        <w:rPr>
          <w:lang w:val="en-GB"/>
        </w:rPr>
        <w:t xml:space="preserve"> </w:t>
      </w:r>
      <w:r w:rsidRPr="00E967CF">
        <w:rPr>
          <w:lang w:val="en-GB"/>
        </w:rPr>
        <w:t>injury</w:t>
      </w:r>
    </w:p>
    <w:p w14:paraId="5F171D56" w14:textId="1E288FF6" w:rsidR="00523CC2" w:rsidRPr="00AC585C" w:rsidRDefault="005B67DA" w:rsidP="00205120">
      <w:pPr>
        <w:rPr>
          <w:vertAlign w:val="superscript"/>
          <w:lang w:val="en-GB"/>
        </w:rPr>
      </w:pPr>
      <w:r w:rsidRPr="00E967CF">
        <w:rPr>
          <w:lang w:val="en-GB"/>
        </w:rPr>
        <w:t>Michael S Baker,</w:t>
      </w:r>
      <w:r w:rsidRPr="00E967CF">
        <w:rPr>
          <w:vertAlign w:val="superscript"/>
          <w:lang w:val="en-GB"/>
        </w:rPr>
        <w:t>1</w:t>
      </w:r>
      <w:r w:rsidRPr="00E967CF">
        <w:rPr>
          <w:lang w:val="en-GB"/>
        </w:rPr>
        <w:t xml:space="preserve"> </w:t>
      </w:r>
      <w:bookmarkStart w:id="1" w:name="_Hlk222233346"/>
      <w:r w:rsidR="00C31420" w:rsidRPr="00E967CF">
        <w:rPr>
          <w:lang w:val="en-GB"/>
        </w:rPr>
        <w:t>Joshua M Heihre</w:t>
      </w:r>
      <w:bookmarkEnd w:id="1"/>
      <w:r w:rsidR="00C31420" w:rsidRPr="00E967CF">
        <w:rPr>
          <w:lang w:val="en-GB"/>
        </w:rPr>
        <w:t>,</w:t>
      </w:r>
      <w:r w:rsidR="00C31420" w:rsidRPr="00E967CF">
        <w:rPr>
          <w:vertAlign w:val="superscript"/>
          <w:lang w:val="en-GB"/>
        </w:rPr>
        <w:t>1</w:t>
      </w:r>
      <w:r w:rsidR="00C31420" w:rsidRPr="00E967CF">
        <w:rPr>
          <w:lang w:val="en-GB"/>
        </w:rPr>
        <w:t xml:space="preserve"> </w:t>
      </w:r>
      <w:r w:rsidR="001A0D3A" w:rsidRPr="00E967CF">
        <w:rPr>
          <w:lang w:val="en-GB"/>
        </w:rPr>
        <w:t>Tomasz Kuli</w:t>
      </w:r>
      <w:r w:rsidR="00826C8F" w:rsidRPr="00E967CF">
        <w:rPr>
          <w:lang w:val="en-GB"/>
        </w:rPr>
        <w:t>ń</w:t>
      </w:r>
      <w:r w:rsidR="001A0D3A" w:rsidRPr="00E967CF">
        <w:rPr>
          <w:lang w:val="en-GB"/>
        </w:rPr>
        <w:t>ski,</w:t>
      </w:r>
      <w:r w:rsidR="001A0D3A" w:rsidRPr="00E967CF">
        <w:rPr>
          <w:vertAlign w:val="superscript"/>
          <w:lang w:val="en-GB"/>
        </w:rPr>
        <w:t>2</w:t>
      </w:r>
      <w:r w:rsidR="001A0D3A" w:rsidRPr="00E967CF">
        <w:rPr>
          <w:lang w:val="en-GB"/>
        </w:rPr>
        <w:t xml:space="preserve"> </w:t>
      </w:r>
      <w:r w:rsidR="00B752F3" w:rsidRPr="00E967CF">
        <w:rPr>
          <w:lang w:val="en-GB"/>
        </w:rPr>
        <w:t>Claudia A Smith,</w:t>
      </w:r>
      <w:r w:rsidR="00B752F3" w:rsidRPr="00E967CF">
        <w:rPr>
          <w:vertAlign w:val="superscript"/>
          <w:lang w:val="en-GB"/>
        </w:rPr>
        <w:t>1</w:t>
      </w:r>
      <w:r w:rsidR="00B752F3" w:rsidRPr="00E967CF">
        <w:rPr>
          <w:lang w:val="en-GB"/>
        </w:rPr>
        <w:t xml:space="preserve"> </w:t>
      </w:r>
      <w:r w:rsidR="006A6B0C" w:rsidRPr="00E967CF">
        <w:rPr>
          <w:lang w:val="en-GB"/>
        </w:rPr>
        <w:t>Berfin Barlas,</w:t>
      </w:r>
      <w:r w:rsidR="009B161D" w:rsidRPr="00E967CF">
        <w:rPr>
          <w:vertAlign w:val="superscript"/>
          <w:lang w:val="en-GB"/>
        </w:rPr>
        <w:t>1</w:t>
      </w:r>
      <w:r w:rsidR="003C16AD" w:rsidRPr="00E967CF">
        <w:rPr>
          <w:vertAlign w:val="superscript"/>
          <w:lang w:val="en-GB"/>
        </w:rPr>
        <w:t>,</w:t>
      </w:r>
      <w:r w:rsidR="009B161D" w:rsidRPr="00E967CF">
        <w:rPr>
          <w:vertAlign w:val="superscript"/>
          <w:lang w:val="en-GB"/>
        </w:rPr>
        <w:t>3</w:t>
      </w:r>
      <w:r w:rsidR="006A6B0C" w:rsidRPr="00E967CF">
        <w:rPr>
          <w:lang w:val="en-GB"/>
        </w:rPr>
        <w:t xml:space="preserve"> </w:t>
      </w:r>
      <w:r w:rsidR="001137A9" w:rsidRPr="00E967CF">
        <w:rPr>
          <w:lang w:val="en-GB"/>
        </w:rPr>
        <w:t>Chisomo Zimphango,</w:t>
      </w:r>
      <w:r w:rsidR="00E44E00" w:rsidRPr="00E967CF">
        <w:rPr>
          <w:vertAlign w:val="superscript"/>
          <w:lang w:val="en-GB"/>
        </w:rPr>
        <w:t>1</w:t>
      </w:r>
      <w:r w:rsidR="001137A9" w:rsidRPr="00E967CF">
        <w:rPr>
          <w:lang w:val="en-GB"/>
        </w:rPr>
        <w:t xml:space="preserve"> </w:t>
      </w:r>
      <w:r w:rsidRPr="00E967CF">
        <w:rPr>
          <w:lang w:val="en-GB"/>
        </w:rPr>
        <w:t>Ivan Timofeev,</w:t>
      </w:r>
      <w:r w:rsidRPr="00E967CF">
        <w:rPr>
          <w:vertAlign w:val="superscript"/>
          <w:lang w:val="en-GB"/>
        </w:rPr>
        <w:t>1</w:t>
      </w:r>
      <w:r w:rsidRPr="00E967CF">
        <w:rPr>
          <w:lang w:val="en-GB"/>
        </w:rPr>
        <w:t xml:space="preserve"> </w:t>
      </w:r>
      <w:bookmarkStart w:id="2" w:name="_Hlk220935330"/>
      <w:r w:rsidR="00C17852" w:rsidRPr="00E967CF">
        <w:rPr>
          <w:lang w:val="en-GB"/>
        </w:rPr>
        <w:t>Koby Baranes,</w:t>
      </w:r>
      <w:r w:rsidR="009B161D" w:rsidRPr="00E967CF">
        <w:rPr>
          <w:vertAlign w:val="superscript"/>
          <w:lang w:val="en-GB"/>
        </w:rPr>
        <w:t>1</w:t>
      </w:r>
      <w:r w:rsidR="00C17852" w:rsidRPr="00E967CF">
        <w:rPr>
          <w:vertAlign w:val="superscript"/>
          <w:lang w:val="en-GB"/>
        </w:rPr>
        <w:t>,</w:t>
      </w:r>
      <w:r w:rsidR="009B161D" w:rsidRPr="00E967CF">
        <w:rPr>
          <w:vertAlign w:val="superscript"/>
          <w:lang w:val="en-GB"/>
        </w:rPr>
        <w:t>3</w:t>
      </w:r>
      <w:r w:rsidR="00C17852" w:rsidRPr="00E967CF">
        <w:rPr>
          <w:lang w:val="en-GB"/>
        </w:rPr>
        <w:t xml:space="preserve"> </w:t>
      </w:r>
      <w:r w:rsidRPr="00E967CF">
        <w:rPr>
          <w:lang w:val="en-GB"/>
        </w:rPr>
        <w:t>Keri L H Carpenter</w:t>
      </w:r>
      <w:bookmarkEnd w:id="2"/>
      <w:r w:rsidRPr="00E967CF">
        <w:rPr>
          <w:lang w:val="en-GB"/>
        </w:rPr>
        <w:t>,</w:t>
      </w:r>
      <w:r w:rsidRPr="00E967CF">
        <w:rPr>
          <w:vertAlign w:val="superscript"/>
          <w:lang w:val="en-GB"/>
        </w:rPr>
        <w:t>1</w:t>
      </w:r>
      <w:r w:rsidRPr="00E967CF">
        <w:rPr>
          <w:lang w:val="en-GB"/>
        </w:rPr>
        <w:t xml:space="preserve"> </w:t>
      </w:r>
      <w:bookmarkStart w:id="3" w:name="_Hlk220935314"/>
      <w:r w:rsidR="00ED2BA8" w:rsidRPr="00E967CF">
        <w:rPr>
          <w:lang w:val="en-GB"/>
        </w:rPr>
        <w:t>Mark Kotter,</w:t>
      </w:r>
      <w:r w:rsidR="009B161D" w:rsidRPr="00E967CF">
        <w:rPr>
          <w:vertAlign w:val="superscript"/>
          <w:lang w:val="en-GB"/>
        </w:rPr>
        <w:t>1</w:t>
      </w:r>
      <w:r w:rsidR="00ED2BA8" w:rsidRPr="00E967CF">
        <w:rPr>
          <w:vertAlign w:val="superscript"/>
          <w:lang w:val="en-GB"/>
        </w:rPr>
        <w:t>,</w:t>
      </w:r>
      <w:r w:rsidR="009B161D" w:rsidRPr="00E967CF">
        <w:rPr>
          <w:vertAlign w:val="superscript"/>
          <w:lang w:val="en-GB"/>
        </w:rPr>
        <w:t>3</w:t>
      </w:r>
      <w:r w:rsidR="00ED2BA8" w:rsidRPr="00E967CF">
        <w:rPr>
          <w:lang w:val="en-GB"/>
        </w:rPr>
        <w:t xml:space="preserve"> </w:t>
      </w:r>
      <w:r w:rsidR="000417F0" w:rsidRPr="00E967CF">
        <w:rPr>
          <w:lang w:val="en-GB"/>
        </w:rPr>
        <w:t>Mathew R Guilfoyle,</w:t>
      </w:r>
      <w:r w:rsidR="000417F0" w:rsidRPr="00E967CF">
        <w:rPr>
          <w:vertAlign w:val="superscript"/>
          <w:lang w:val="en-GB"/>
        </w:rPr>
        <w:t>1</w:t>
      </w:r>
      <w:r w:rsidR="000417F0" w:rsidRPr="00E967CF">
        <w:rPr>
          <w:lang w:val="en-GB"/>
        </w:rPr>
        <w:t xml:space="preserve"> </w:t>
      </w:r>
      <w:r w:rsidR="00021B84" w:rsidRPr="00E967CF">
        <w:rPr>
          <w:lang w:val="en-GB"/>
        </w:rPr>
        <w:t>Elham Rostami,</w:t>
      </w:r>
      <w:r w:rsidR="00021B84" w:rsidRPr="00E967CF">
        <w:rPr>
          <w:vertAlign w:val="superscript"/>
          <w:lang w:val="en-GB"/>
        </w:rPr>
        <w:t>2,</w:t>
      </w:r>
      <w:r w:rsidR="009B161D" w:rsidRPr="00E967CF">
        <w:rPr>
          <w:vertAlign w:val="superscript"/>
          <w:lang w:val="en-GB"/>
        </w:rPr>
        <w:t>4</w:t>
      </w:r>
      <w:r w:rsidR="00021B84" w:rsidRPr="00E967CF">
        <w:rPr>
          <w:lang w:val="en-GB"/>
        </w:rPr>
        <w:t xml:space="preserve"> </w:t>
      </w:r>
      <w:r w:rsidR="00B70F71" w:rsidRPr="00E967CF">
        <w:rPr>
          <w:lang w:val="en-GB"/>
        </w:rPr>
        <w:t>Peter J Hutchinson</w:t>
      </w:r>
      <w:bookmarkEnd w:id="3"/>
      <w:r w:rsidR="00B70F71" w:rsidRPr="00E967CF">
        <w:rPr>
          <w:lang w:val="en-GB"/>
        </w:rPr>
        <w:t>,</w:t>
      </w:r>
      <w:r w:rsidR="00B70F71" w:rsidRPr="00E967CF">
        <w:rPr>
          <w:vertAlign w:val="superscript"/>
          <w:lang w:val="en-GB"/>
        </w:rPr>
        <w:t>1</w:t>
      </w:r>
      <w:r w:rsidR="00B70F71" w:rsidRPr="00E967CF">
        <w:rPr>
          <w:lang w:val="en-GB"/>
        </w:rPr>
        <w:t xml:space="preserve"> </w:t>
      </w:r>
      <w:r w:rsidRPr="00E967CF">
        <w:rPr>
          <w:lang w:val="en-GB"/>
        </w:rPr>
        <w:t xml:space="preserve">and </w:t>
      </w:r>
      <w:bookmarkStart w:id="4" w:name="_Hlk220935339"/>
      <w:r w:rsidRPr="00E967CF">
        <w:rPr>
          <w:lang w:val="en-GB"/>
        </w:rPr>
        <w:t>Adel Helmy</w:t>
      </w:r>
      <w:bookmarkEnd w:id="4"/>
      <w:r w:rsidRPr="00E967CF">
        <w:rPr>
          <w:vertAlign w:val="superscript"/>
          <w:lang w:val="en-GB"/>
        </w:rPr>
        <w:t>1</w:t>
      </w:r>
    </w:p>
    <w:p w14:paraId="141517EB" w14:textId="77777777" w:rsidR="007A5390" w:rsidRDefault="007A5390" w:rsidP="007A5390">
      <w:pPr>
        <w:rPr>
          <w:lang w:val="en-GB"/>
        </w:rPr>
      </w:pPr>
    </w:p>
    <w:p w14:paraId="2B828544" w14:textId="541DBE29" w:rsidR="007A5390" w:rsidRPr="00E967CF" w:rsidRDefault="007A5390" w:rsidP="007A5390">
      <w:pPr>
        <w:rPr>
          <w:lang w:val="en-GB"/>
        </w:rPr>
      </w:pPr>
      <w:r w:rsidRPr="00E967CF">
        <w:rPr>
          <w:lang w:val="en-GB"/>
        </w:rPr>
        <w:t>Author affiliations:</w:t>
      </w:r>
    </w:p>
    <w:p w14:paraId="493F53AD" w14:textId="77777777" w:rsidR="007A5390" w:rsidRPr="00E967CF" w:rsidRDefault="007A5390" w:rsidP="007A5390">
      <w:pPr>
        <w:rPr>
          <w:lang w:val="en-GB"/>
        </w:rPr>
      </w:pPr>
      <w:r w:rsidRPr="00E967CF">
        <w:rPr>
          <w:lang w:val="en-GB"/>
        </w:rPr>
        <w:t>1 Department of Clinical Neurosciences, University of Cambridge, Cambridge Biomedical Campus, Cambridge, CB2 0QQ, UK</w:t>
      </w:r>
    </w:p>
    <w:p w14:paraId="1D79E2C0" w14:textId="77777777" w:rsidR="007A5390" w:rsidRPr="00E967CF" w:rsidRDefault="007A5390" w:rsidP="007A5390">
      <w:pPr>
        <w:rPr>
          <w:lang w:val="en-GB"/>
        </w:rPr>
      </w:pPr>
      <w:r w:rsidRPr="00E967CF">
        <w:rPr>
          <w:lang w:val="en-GB"/>
        </w:rPr>
        <w:t>2 Section of Neurosurgery, Department of Medical Sciences, Uppsala University Hospital, Uppsala, SE-751 85, Sweden</w:t>
      </w:r>
    </w:p>
    <w:p w14:paraId="67FC9D7D" w14:textId="77777777" w:rsidR="007A5390" w:rsidRPr="00E967CF" w:rsidRDefault="007A5390" w:rsidP="007A5390">
      <w:pPr>
        <w:rPr>
          <w:lang w:val="en-GB"/>
        </w:rPr>
      </w:pPr>
      <w:r w:rsidRPr="00E967CF">
        <w:rPr>
          <w:lang w:val="en-GB"/>
        </w:rPr>
        <w:t>3 Wellcome-MRC Cambridge Stem Cell Institute, University of Cambridge, Cambridge, CB2 0AW, UK</w:t>
      </w:r>
    </w:p>
    <w:p w14:paraId="6132B806" w14:textId="77777777" w:rsidR="007A5390" w:rsidRPr="00E967CF" w:rsidRDefault="007A5390" w:rsidP="007A5390">
      <w:pPr>
        <w:rPr>
          <w:lang w:val="en-GB"/>
        </w:rPr>
      </w:pPr>
      <w:r w:rsidRPr="00E967CF">
        <w:rPr>
          <w:lang w:val="en-GB"/>
        </w:rPr>
        <w:t xml:space="preserve">4 </w:t>
      </w:r>
      <w:bookmarkStart w:id="5" w:name="_Hlk221546009"/>
      <w:r w:rsidRPr="00E967CF">
        <w:rPr>
          <w:lang w:val="en-GB"/>
        </w:rPr>
        <w:t>Department of Physiology and Pharmacology, Karolinska Institutet, Stockholm, SE-171 77, Sweden</w:t>
      </w:r>
      <w:bookmarkEnd w:id="5"/>
    </w:p>
    <w:p w14:paraId="71CAA26E" w14:textId="77777777" w:rsidR="007A5390" w:rsidRPr="00E967CF" w:rsidRDefault="007A5390" w:rsidP="007A5390">
      <w:pPr>
        <w:rPr>
          <w:lang w:val="en-GB"/>
        </w:rPr>
      </w:pPr>
    </w:p>
    <w:p w14:paraId="05C65784" w14:textId="77777777" w:rsidR="007A5390" w:rsidRPr="00E967CF" w:rsidRDefault="007A5390" w:rsidP="007A5390">
      <w:pPr>
        <w:rPr>
          <w:lang w:val="en-GB"/>
        </w:rPr>
      </w:pPr>
      <w:r w:rsidRPr="00E967CF">
        <w:rPr>
          <w:lang w:val="en-GB"/>
        </w:rPr>
        <w:t>Correspondence to: Michael S Baker</w:t>
      </w:r>
    </w:p>
    <w:p w14:paraId="251818AE" w14:textId="77777777" w:rsidR="007A5390" w:rsidRDefault="007A5390" w:rsidP="007A5390">
      <w:pPr>
        <w:rPr>
          <w:lang w:val="en-GB"/>
        </w:rPr>
      </w:pPr>
      <w:r w:rsidRPr="00E967CF">
        <w:rPr>
          <w:lang w:val="en-GB"/>
        </w:rPr>
        <w:t>Division of Neurosurgery, Department of Clinical Neurosciences, University of Cambridge, Cambridge Biomedical Campus, Box 167, Cambridge, CB2 0QQ, UK</w:t>
      </w:r>
    </w:p>
    <w:p w14:paraId="2B51D5E0" w14:textId="0A1EBE64" w:rsidR="001B4A1F" w:rsidRPr="00E967CF" w:rsidRDefault="00F620FF" w:rsidP="007A5390">
      <w:pPr>
        <w:rPr>
          <w:lang w:val="en-GB"/>
        </w:rPr>
      </w:pPr>
      <w:r>
        <w:rPr>
          <w:lang w:val="en-GB"/>
        </w:rPr>
        <w:t>Phone</w:t>
      </w:r>
      <w:r w:rsidR="001B4A1F">
        <w:rPr>
          <w:lang w:val="en-GB"/>
        </w:rPr>
        <w:t xml:space="preserve">: </w:t>
      </w:r>
      <w:r w:rsidR="006D1115">
        <w:rPr>
          <w:lang w:val="en-GB"/>
        </w:rPr>
        <w:t xml:space="preserve">+44 </w:t>
      </w:r>
      <w:r w:rsidR="001B4A1F" w:rsidRPr="001B4A1F">
        <w:rPr>
          <w:lang w:val="en-GB"/>
        </w:rPr>
        <w:t>1223 746453</w:t>
      </w:r>
    </w:p>
    <w:p w14:paraId="287787C1" w14:textId="26CE2E8B" w:rsidR="007A5390" w:rsidRPr="00E967CF" w:rsidRDefault="001B4A1F" w:rsidP="007A5390">
      <w:pPr>
        <w:rPr>
          <w:lang w:val="en-GB"/>
        </w:rPr>
      </w:pPr>
      <w:r>
        <w:rPr>
          <w:lang w:val="en-GB"/>
        </w:rPr>
        <w:t xml:space="preserve">Email: </w:t>
      </w:r>
      <w:r w:rsidR="007A5390" w:rsidRPr="00E967CF">
        <w:rPr>
          <w:lang w:val="en-GB"/>
        </w:rPr>
        <w:t>msb74@cam.ac.uk</w:t>
      </w:r>
    </w:p>
    <w:p w14:paraId="1981F47F" w14:textId="77777777" w:rsidR="007A5390" w:rsidRDefault="007A5390" w:rsidP="007A5390">
      <w:pPr>
        <w:rPr>
          <w:b/>
          <w:lang w:val="en-GB"/>
        </w:rPr>
      </w:pPr>
    </w:p>
    <w:p w14:paraId="72A26A63" w14:textId="4AD5731C" w:rsidR="007A5390" w:rsidRPr="007A5390" w:rsidRDefault="007A5390" w:rsidP="00205120">
      <w:pPr>
        <w:rPr>
          <w:lang w:val="en-GB"/>
        </w:rPr>
      </w:pPr>
      <w:r w:rsidRPr="00E967CF">
        <w:rPr>
          <w:b/>
          <w:lang w:val="en-GB"/>
        </w:rPr>
        <w:t>Running title</w:t>
      </w:r>
      <w:r w:rsidRPr="00E967CF">
        <w:rPr>
          <w:lang w:val="en-GB"/>
        </w:rPr>
        <w:t xml:space="preserve">: </w:t>
      </w:r>
      <w:r w:rsidR="006E4705" w:rsidRPr="006E4705">
        <w:rPr>
          <w:lang w:val="en-GB"/>
        </w:rPr>
        <w:t>Lactate</w:t>
      </w:r>
      <w:r w:rsidR="002E5EED">
        <w:rPr>
          <w:lang w:val="en-GB"/>
        </w:rPr>
        <w:t>–</w:t>
      </w:r>
      <w:r w:rsidR="006E4705" w:rsidRPr="006E4705">
        <w:rPr>
          <w:lang w:val="en-GB"/>
        </w:rPr>
        <w:t>pyruvate linearity after brain injury</w:t>
      </w:r>
      <w:r w:rsidR="00753C86">
        <w:rPr>
          <w:lang w:val="en-GB"/>
        </w:rPr>
        <w:br w:type="page"/>
      </w:r>
    </w:p>
    <w:p w14:paraId="4ADB6140" w14:textId="3CD9A630" w:rsidR="00BD764C" w:rsidRDefault="00523CC2" w:rsidP="00415E27">
      <w:pPr>
        <w:pStyle w:val="Heading1"/>
        <w:rPr>
          <w:lang w:val="en-GB"/>
        </w:rPr>
      </w:pPr>
      <w:r w:rsidRPr="00E967CF">
        <w:rPr>
          <w:lang w:val="en-GB"/>
        </w:rPr>
        <w:lastRenderedPageBreak/>
        <w:t>Abstract</w:t>
      </w:r>
      <w:bookmarkStart w:id="6" w:name="_Hlk224667150"/>
    </w:p>
    <w:bookmarkEnd w:id="6"/>
    <w:p w14:paraId="12013056" w14:textId="77777777" w:rsidR="00F50DAE" w:rsidRPr="00F50DAE" w:rsidRDefault="00F50DAE" w:rsidP="00F50DAE">
      <w:pPr>
        <w:rPr>
          <w:lang w:val="en-GB"/>
        </w:rPr>
      </w:pPr>
      <w:r w:rsidRPr="00F50DAE">
        <w:rPr>
          <w:b/>
          <w:bCs/>
          <w:lang w:val="en-GB"/>
        </w:rPr>
        <w:t>Background</w:t>
      </w:r>
      <w:r w:rsidRPr="00F50DAE">
        <w:rPr>
          <w:lang w:val="en-GB"/>
        </w:rPr>
        <w:t>: Cerebral microdialysis monitoring after traumatic brain injury (TBI) has focused on the lactate/pyruvate ratio (LPR), overlooking the underlying linear lactate–pyruvate relationship.</w:t>
      </w:r>
    </w:p>
    <w:p w14:paraId="52A80D89" w14:textId="7D23BDF9" w:rsidR="00F50DAE" w:rsidRPr="00F50DAE" w:rsidRDefault="00F50DAE" w:rsidP="00F50DAE">
      <w:pPr>
        <w:rPr>
          <w:lang w:val="en-GB"/>
        </w:rPr>
      </w:pPr>
      <w:r w:rsidRPr="00F50DAE">
        <w:rPr>
          <w:b/>
          <w:bCs/>
          <w:lang w:val="en-GB"/>
        </w:rPr>
        <w:t>Methods</w:t>
      </w:r>
      <w:r w:rsidRPr="00F50DAE">
        <w:rPr>
          <w:lang w:val="en-GB"/>
        </w:rPr>
        <w:t xml:space="preserve">: We developed a changepoint detection pipeline to characterise this relationship </w:t>
      </w:r>
      <w:r w:rsidR="00441C12">
        <w:rPr>
          <w:lang w:val="en-GB"/>
        </w:rPr>
        <w:t>by</w:t>
      </w:r>
      <w:r w:rsidRPr="00F50DAE">
        <w:rPr>
          <w:lang w:val="en-GB"/>
        </w:rPr>
        <w:t xml:space="preserve"> its gradient (</w:t>
      </w:r>
      <w:r w:rsidRPr="00316087">
        <w:rPr>
          <w:i/>
          <w:iCs/>
          <w:lang w:val="en-GB"/>
        </w:rPr>
        <w:t>m</w:t>
      </w:r>
      <w:r w:rsidRPr="00F50DAE">
        <w:rPr>
          <w:lang w:val="en-GB"/>
        </w:rPr>
        <w:t>), hypothesised to track anaerobic activity, and intercept (</w:t>
      </w:r>
      <w:r w:rsidRPr="007E51F9">
        <w:rPr>
          <w:i/>
          <w:iCs/>
          <w:lang w:val="en-GB"/>
        </w:rPr>
        <w:t>b</w:t>
      </w:r>
      <w:r w:rsidRPr="00F50DAE">
        <w:rPr>
          <w:lang w:val="en-GB"/>
        </w:rPr>
        <w:t xml:space="preserve">), accounting for metabolic variance. We applied this pipeline to </w:t>
      </w:r>
      <w:r w:rsidR="00F20D2C">
        <w:rPr>
          <w:lang w:val="en-GB"/>
        </w:rPr>
        <w:t xml:space="preserve">data from </w:t>
      </w:r>
      <w:r w:rsidRPr="00F50DAE">
        <w:rPr>
          <w:lang w:val="en-GB"/>
        </w:rPr>
        <w:t xml:space="preserve">510 TBI patients (Addenbrooke's Hospital, Cambridge, UK) </w:t>
      </w:r>
      <w:r w:rsidR="009325F7" w:rsidRPr="009325F7">
        <w:rPr>
          <w:lang w:val="en-GB"/>
        </w:rPr>
        <w:t>and an external 81-patient cohort</w:t>
      </w:r>
      <w:r w:rsidRPr="00F50DAE">
        <w:rPr>
          <w:lang w:val="en-GB"/>
        </w:rPr>
        <w:t xml:space="preserve"> (Uppsala University Hospital, Sweden</w:t>
      </w:r>
      <w:bookmarkStart w:id="7" w:name="_Hlk225877198"/>
      <w:r w:rsidRPr="00F50DAE">
        <w:rPr>
          <w:lang w:val="en-GB"/>
        </w:rPr>
        <w:t xml:space="preserve">). </w:t>
      </w:r>
      <w:r w:rsidRPr="009520DA">
        <w:rPr>
          <w:i/>
          <w:iCs/>
          <w:lang w:val="en-GB"/>
        </w:rPr>
        <w:t>In vitro</w:t>
      </w:r>
      <w:r w:rsidRPr="00F50DAE">
        <w:rPr>
          <w:lang w:val="en-GB"/>
        </w:rPr>
        <w:t>, we investigated rotenone-induced mitochondrial dysfunction.</w:t>
      </w:r>
    </w:p>
    <w:bookmarkEnd w:id="7"/>
    <w:p w14:paraId="141C26C0" w14:textId="43ACD809" w:rsidR="00F50DAE" w:rsidRPr="00F50DAE" w:rsidRDefault="00F50DAE" w:rsidP="00F50DAE">
      <w:pPr>
        <w:rPr>
          <w:lang w:val="en-GB"/>
        </w:rPr>
      </w:pPr>
      <w:r w:rsidRPr="00F50DAE">
        <w:rPr>
          <w:b/>
          <w:bCs/>
          <w:lang w:val="en-GB"/>
        </w:rPr>
        <w:t>Results</w:t>
      </w:r>
      <w:r w:rsidRPr="00F50DAE">
        <w:rPr>
          <w:lang w:val="en-GB"/>
        </w:rPr>
        <w:t xml:space="preserve">: In the Cambridge cohort, the pipeline identified a median of two distinct linear segments per patient (median </w:t>
      </w:r>
      <w:r w:rsidRPr="00BA4C86">
        <w:rPr>
          <w:i/>
          <w:iCs/>
          <w:lang w:val="en-GB"/>
        </w:rPr>
        <w:t>m</w:t>
      </w:r>
      <w:r w:rsidRPr="00F50DAE">
        <w:rPr>
          <w:lang w:val="en-GB"/>
        </w:rPr>
        <w:t xml:space="preserve"> = 19.83; median </w:t>
      </w:r>
      <w:r w:rsidRPr="00BA4C86">
        <w:rPr>
          <w:i/>
          <w:iCs/>
          <w:lang w:val="en-GB"/>
        </w:rPr>
        <w:t>b</w:t>
      </w:r>
      <w:r w:rsidRPr="00F50DAE">
        <w:rPr>
          <w:lang w:val="en-GB"/>
        </w:rPr>
        <w:t xml:space="preserve"> = 0.54 mM). The intercept displace</w:t>
      </w:r>
      <w:r w:rsidR="00146074">
        <w:rPr>
          <w:lang w:val="en-GB"/>
        </w:rPr>
        <w:t>d</w:t>
      </w:r>
      <w:r w:rsidRPr="00F50DAE">
        <w:rPr>
          <w:lang w:val="en-GB"/>
        </w:rPr>
        <w:t xml:space="preserve"> the LPR from the gradient in a substrate-dependent manner (median error: −19.9% to +103.4%), while between segments the LPR tracked </w:t>
      </w:r>
      <w:r w:rsidR="004912A7">
        <w:rPr>
          <w:lang w:val="en-GB"/>
        </w:rPr>
        <w:t xml:space="preserve">the </w:t>
      </w:r>
      <w:r w:rsidRPr="00F50DAE">
        <w:rPr>
          <w:lang w:val="en-GB"/>
        </w:rPr>
        <w:t>gradient with heavy attenuation (β = 0.255). The gradient was negatively associated with cerebral glucose (</w:t>
      </w:r>
      <w:r w:rsidRPr="00D55D9D">
        <w:rPr>
          <w:i/>
          <w:iCs/>
          <w:lang w:val="en-GB"/>
        </w:rPr>
        <w:t>p</w:t>
      </w:r>
      <w:r w:rsidRPr="00F50DAE">
        <w:rPr>
          <w:lang w:val="en-GB"/>
        </w:rPr>
        <w:t xml:space="preserve"> &lt; 0.001) and 6-month outcomes (</w:t>
      </w:r>
      <w:r w:rsidRPr="005578BF">
        <w:rPr>
          <w:i/>
          <w:iCs/>
          <w:lang w:val="en-GB"/>
        </w:rPr>
        <w:t>p</w:t>
      </w:r>
      <w:r w:rsidRPr="00F50DAE">
        <w:rPr>
          <w:lang w:val="en-GB"/>
        </w:rPr>
        <w:t xml:space="preserve"> = 0.039). External validation confirmed pipeline robustness and replicated the gradient–glucose association (</w:t>
      </w:r>
      <w:r w:rsidRPr="00215AB8">
        <w:rPr>
          <w:i/>
          <w:iCs/>
          <w:lang w:val="en-GB"/>
        </w:rPr>
        <w:t>p</w:t>
      </w:r>
      <w:r w:rsidRPr="00F50DAE">
        <w:rPr>
          <w:lang w:val="en-GB"/>
        </w:rPr>
        <w:t xml:space="preserve"> = 0.022). </w:t>
      </w:r>
      <w:r w:rsidRPr="001F430C">
        <w:rPr>
          <w:i/>
          <w:iCs/>
          <w:lang w:val="en-GB"/>
        </w:rPr>
        <w:t>In vitro</w:t>
      </w:r>
      <w:r w:rsidRPr="00F50DAE">
        <w:rPr>
          <w:lang w:val="en-GB"/>
        </w:rPr>
        <w:t xml:space="preserve">, rotenone-treated neurons exhibited a higher gradient than controls (32.9 vs. 14.2, </w:t>
      </w:r>
      <w:r w:rsidRPr="00954CC9">
        <w:rPr>
          <w:i/>
          <w:iCs/>
          <w:lang w:val="en-GB"/>
        </w:rPr>
        <w:t>p</w:t>
      </w:r>
      <w:r w:rsidRPr="00F50DAE">
        <w:rPr>
          <w:lang w:val="en-GB"/>
        </w:rPr>
        <w:t xml:space="preserve"> &lt; 0.001).</w:t>
      </w:r>
    </w:p>
    <w:p w14:paraId="6347DE1D" w14:textId="17074F65" w:rsidR="007354E5" w:rsidRDefault="00F50DAE" w:rsidP="00F50DAE">
      <w:pPr>
        <w:rPr>
          <w:lang w:val="en-GB"/>
        </w:rPr>
      </w:pPr>
      <w:r w:rsidRPr="00F50DAE">
        <w:rPr>
          <w:b/>
          <w:bCs/>
          <w:lang w:val="en-GB"/>
        </w:rPr>
        <w:t>Conclusion</w:t>
      </w:r>
      <w:r w:rsidRPr="00F50DAE">
        <w:rPr>
          <w:lang w:val="en-GB"/>
        </w:rPr>
        <w:t>: The linear lactate–pyruvate gradient provides a more accurate, outcome-associated proxy for anaerobic activity than the LPR.</w:t>
      </w:r>
    </w:p>
    <w:p w14:paraId="005A4753" w14:textId="77777777" w:rsidR="00621FC6" w:rsidRPr="00E967CF" w:rsidRDefault="00621FC6" w:rsidP="00F50DAE">
      <w:pPr>
        <w:rPr>
          <w:lang w:val="en-GB"/>
        </w:rPr>
      </w:pPr>
    </w:p>
    <w:p w14:paraId="4B244E0F" w14:textId="269C617F" w:rsidR="007354E5" w:rsidRPr="00E967CF" w:rsidRDefault="007354E5" w:rsidP="00F767CF">
      <w:pPr>
        <w:rPr>
          <w:lang w:val="en-GB"/>
        </w:rPr>
      </w:pPr>
      <w:r w:rsidRPr="00E967CF">
        <w:rPr>
          <w:b/>
          <w:lang w:val="en-GB"/>
        </w:rPr>
        <w:t>Keywords:</w:t>
      </w:r>
      <w:r w:rsidRPr="00E967CF">
        <w:rPr>
          <w:lang w:val="en-GB"/>
        </w:rPr>
        <w:t xml:space="preserve"> </w:t>
      </w:r>
      <w:r w:rsidR="00876CD1" w:rsidRPr="00876CD1">
        <w:rPr>
          <w:lang w:val="en-GB"/>
        </w:rPr>
        <w:t xml:space="preserve">cerebral metabolism; changepoint detection; </w:t>
      </w:r>
      <w:r w:rsidR="00153745">
        <w:rPr>
          <w:lang w:val="en-GB"/>
        </w:rPr>
        <w:t xml:space="preserve">mitochondrial dysfunction; </w:t>
      </w:r>
      <w:r w:rsidR="00876CD1" w:rsidRPr="00876CD1">
        <w:rPr>
          <w:lang w:val="en-GB"/>
        </w:rPr>
        <w:t>neuromonitoring; neurocritical care</w:t>
      </w:r>
      <w:r w:rsidR="00414108">
        <w:rPr>
          <w:lang w:val="en-GB"/>
        </w:rPr>
        <w:br w:type="page"/>
      </w:r>
    </w:p>
    <w:p w14:paraId="023C27BD" w14:textId="25508BB4" w:rsidR="00EE1927" w:rsidRPr="00E967CF" w:rsidRDefault="00641999" w:rsidP="00205120">
      <w:pPr>
        <w:pStyle w:val="Heading1"/>
        <w:rPr>
          <w:lang w:val="en-GB"/>
        </w:rPr>
      </w:pPr>
      <w:r w:rsidRPr="00E967CF">
        <w:rPr>
          <w:lang w:val="en-GB"/>
        </w:rPr>
        <w:lastRenderedPageBreak/>
        <w:t xml:space="preserve">1 </w:t>
      </w:r>
      <w:r w:rsidR="007354E5" w:rsidRPr="00E967CF">
        <w:rPr>
          <w:lang w:val="en-GB"/>
        </w:rPr>
        <w:t>Introduction</w:t>
      </w:r>
    </w:p>
    <w:p w14:paraId="3BD32CFF" w14:textId="45D39B4B" w:rsidR="007354E5" w:rsidRPr="00E967CF" w:rsidRDefault="00F961ED" w:rsidP="00205120">
      <w:pPr>
        <w:rPr>
          <w:lang w:val="en-GB"/>
        </w:rPr>
      </w:pPr>
      <w:r w:rsidRPr="00F961ED">
        <w:rPr>
          <w:lang w:val="en-GB"/>
        </w:rPr>
        <w:t xml:space="preserve">Cerebral metabolic derangement is a </w:t>
      </w:r>
      <w:r w:rsidR="001B1788">
        <w:rPr>
          <w:lang w:val="en-GB"/>
        </w:rPr>
        <w:t>detrimental</w:t>
      </w:r>
      <w:r w:rsidRPr="00F961ED">
        <w:rPr>
          <w:lang w:val="en-GB"/>
        </w:rPr>
        <w:t xml:space="preserve"> secondary injury mechanism following traumatic brain injury</w:t>
      </w:r>
      <w:r w:rsidRPr="00F961ED">
        <w:rPr>
          <w:lang w:val="en-GB"/>
        </w:rPr>
        <w:t xml:space="preserve"> </w:t>
      </w:r>
      <w:r w:rsidR="00AB1396" w:rsidRPr="00E967CF">
        <w:rPr>
          <w:lang w:val="en-GB"/>
        </w:rPr>
        <w:t>(TBI).</w:t>
      </w:r>
      <w:r w:rsidR="00AB1396" w:rsidRPr="00E967CF">
        <w:rPr>
          <w:vertAlign w:val="superscript"/>
          <w:lang w:val="en-GB"/>
        </w:rPr>
        <w:t>1</w:t>
      </w:r>
      <w:r w:rsidR="00AB1396" w:rsidRPr="00E967CF">
        <w:rPr>
          <w:lang w:val="en-GB"/>
        </w:rPr>
        <w:t xml:space="preserve"> Cerebral microdialysis (CMD) is an invasive technique used in neurocritical care in which a probe placed into the brain parenchyma samples extracellular fluid, enabling monitoring of local biochemistry and metabolic derangements</w:t>
      </w:r>
      <w:r w:rsidR="006F1677" w:rsidRPr="00E967CF">
        <w:rPr>
          <w:lang w:val="en-GB"/>
        </w:rPr>
        <w:t xml:space="preserve"> (</w:t>
      </w:r>
      <w:r w:rsidR="006F1677" w:rsidRPr="00E967CF">
        <w:rPr>
          <w:b/>
          <w:bCs/>
          <w:lang w:val="en-GB"/>
        </w:rPr>
        <w:t>Fig. 1</w:t>
      </w:r>
      <w:r w:rsidR="006F1677" w:rsidRPr="00E967CF">
        <w:rPr>
          <w:lang w:val="en-GB"/>
        </w:rPr>
        <w:t>)</w:t>
      </w:r>
      <w:r w:rsidR="00AB1396" w:rsidRPr="00E967CF">
        <w:rPr>
          <w:lang w:val="en-GB"/>
        </w:rPr>
        <w:t>. The key indicator derived from CMD is the lactate/pyruvate ratio (LPR), which has thus far served as a surrogate for the cellular redox state (NADH/NAD+).</w:t>
      </w:r>
      <w:r w:rsidR="00AB1396" w:rsidRPr="00E967CF">
        <w:rPr>
          <w:vertAlign w:val="superscript"/>
          <w:lang w:val="en-GB"/>
        </w:rPr>
        <w:t>2</w:t>
      </w:r>
      <w:r w:rsidR="00AB1396" w:rsidRPr="00E967CF">
        <w:rPr>
          <w:lang w:val="en-GB"/>
        </w:rPr>
        <w:t xml:space="preserve"> </w:t>
      </w:r>
      <w:r w:rsidR="00731BB3">
        <w:rPr>
          <w:lang w:val="en-GB"/>
        </w:rPr>
        <w:t>A</w:t>
      </w:r>
      <w:r w:rsidR="00AB1396" w:rsidRPr="00E967CF">
        <w:rPr>
          <w:lang w:val="en-GB"/>
        </w:rPr>
        <w:t>n elevated cerebral LPR is associated with poorer neurological</w:t>
      </w:r>
      <w:r w:rsidR="00AB1396" w:rsidRPr="00E967CF">
        <w:rPr>
          <w:vertAlign w:val="superscript"/>
          <w:lang w:val="en-GB"/>
        </w:rPr>
        <w:t>3</w:t>
      </w:r>
      <w:bookmarkStart w:id="8" w:name="_Hlk211432403"/>
      <w:r w:rsidR="00AB1396" w:rsidRPr="00E967CF">
        <w:rPr>
          <w:vertAlign w:val="superscript"/>
          <w:lang w:val="en-GB"/>
        </w:rPr>
        <w:t>–</w:t>
      </w:r>
      <w:bookmarkEnd w:id="8"/>
      <w:r w:rsidR="00AB1396" w:rsidRPr="00E967CF">
        <w:rPr>
          <w:vertAlign w:val="superscript"/>
          <w:lang w:val="en-GB"/>
        </w:rPr>
        <w:t>6</w:t>
      </w:r>
      <w:r w:rsidR="00AB1396" w:rsidRPr="00E967CF">
        <w:rPr>
          <w:lang w:val="en-GB"/>
        </w:rPr>
        <w:t xml:space="preserve"> and brain tissue</w:t>
      </w:r>
      <w:r w:rsidR="00AB1396" w:rsidRPr="00E967CF">
        <w:rPr>
          <w:vertAlign w:val="superscript"/>
          <w:lang w:val="en-GB"/>
        </w:rPr>
        <w:t>7,8</w:t>
      </w:r>
      <w:r w:rsidR="00AB1396" w:rsidRPr="00E967CF">
        <w:rPr>
          <w:lang w:val="en-GB"/>
        </w:rPr>
        <w:t xml:space="preserve"> outcomes.</w:t>
      </w:r>
    </w:p>
    <w:p w14:paraId="6BBEC2BA" w14:textId="06947CE5" w:rsidR="008F120E" w:rsidRPr="00E967CF" w:rsidRDefault="00510003" w:rsidP="00205120">
      <w:pPr>
        <w:rPr>
          <w:lang w:val="en-GB"/>
        </w:rPr>
      </w:pPr>
      <w:r w:rsidRPr="00510003">
        <w:rPr>
          <w:lang w:val="en-GB"/>
        </w:rPr>
        <w:t>However, the traditional interpretation of CMD data relies on isolated LPR measurements assessed against fixed thresholds</w:t>
      </w:r>
      <w:r w:rsidR="008F120E" w:rsidRPr="00E967CF">
        <w:rPr>
          <w:lang w:val="en-GB"/>
        </w:rPr>
        <w:t xml:space="preserve"> (e.g., 25)</w:t>
      </w:r>
      <w:r w:rsidR="001723BF">
        <w:rPr>
          <w:lang w:val="en-GB"/>
        </w:rPr>
        <w:t>,</w:t>
      </w:r>
      <w:r w:rsidR="008F120E" w:rsidRPr="00E967CF">
        <w:rPr>
          <w:vertAlign w:val="superscript"/>
          <w:lang w:val="en-GB"/>
        </w:rPr>
        <w:t>3,9–12</w:t>
      </w:r>
      <w:r w:rsidR="008F120E" w:rsidRPr="00E967CF">
        <w:rPr>
          <w:lang w:val="en-GB"/>
        </w:rPr>
        <w:t xml:space="preserve"> </w:t>
      </w:r>
      <w:bookmarkStart w:id="9" w:name="_Hlk220950357"/>
      <w:r w:rsidR="001723BF">
        <w:rPr>
          <w:lang w:val="en-GB"/>
        </w:rPr>
        <w:t>collapsing</w:t>
      </w:r>
      <w:r w:rsidR="005E6C89" w:rsidRPr="00E967CF">
        <w:rPr>
          <w:lang w:val="en-GB"/>
        </w:rPr>
        <w:t xml:space="preserve"> the interaction between lactate and pyruvate into a single value that obscures the underlying linear dynamics</w:t>
      </w:r>
      <w:r w:rsidR="00396ABB" w:rsidRPr="00E967CF">
        <w:rPr>
          <w:lang w:val="en-GB"/>
        </w:rPr>
        <w:t xml:space="preserve">. </w:t>
      </w:r>
      <w:r w:rsidR="00F428CC">
        <w:rPr>
          <w:lang w:val="en-GB"/>
        </w:rPr>
        <w:t>Here</w:t>
      </w:r>
      <w:r w:rsidR="002151B7" w:rsidRPr="00E967CF">
        <w:rPr>
          <w:lang w:val="en-GB"/>
        </w:rPr>
        <w:t xml:space="preserve">, we </w:t>
      </w:r>
      <w:r w:rsidR="00053AD5" w:rsidRPr="00E967CF">
        <w:rPr>
          <w:lang w:val="en-GB"/>
        </w:rPr>
        <w:t>introduce</w:t>
      </w:r>
      <w:r w:rsidR="002151B7" w:rsidRPr="00E967CF">
        <w:rPr>
          <w:lang w:val="en-GB"/>
        </w:rPr>
        <w:t xml:space="preserve"> a framework that </w:t>
      </w:r>
      <w:r w:rsidR="003A52DA">
        <w:rPr>
          <w:lang w:val="en-GB"/>
        </w:rPr>
        <w:t>encapsulates</w:t>
      </w:r>
      <w:r w:rsidR="002151B7" w:rsidRPr="00E967CF">
        <w:rPr>
          <w:lang w:val="en-GB"/>
        </w:rPr>
        <w:t xml:space="preserve"> the dynamic linear lactate</w:t>
      </w:r>
      <w:r w:rsidR="00EA61BA" w:rsidRPr="00E967CF">
        <w:rPr>
          <w:lang w:val="en-GB"/>
        </w:rPr>
        <w:t>–</w:t>
      </w:r>
      <w:r w:rsidR="002151B7" w:rsidRPr="00E967CF">
        <w:rPr>
          <w:lang w:val="en-GB"/>
        </w:rPr>
        <w:t>pyruvate relationship between patients and within patients.</w:t>
      </w:r>
    </w:p>
    <w:p w14:paraId="6DCCA0B8" w14:textId="6D3A8340" w:rsidR="0037458F" w:rsidRPr="00E967CF" w:rsidRDefault="004A23EA" w:rsidP="0037458F">
      <w:pPr>
        <w:rPr>
          <w:lang w:val="en-GB"/>
        </w:rPr>
      </w:pPr>
      <w:bookmarkStart w:id="10" w:name="_Hlk225887863"/>
      <w:bookmarkEnd w:id="9"/>
      <w:r w:rsidRPr="00E967CF">
        <w:rPr>
          <w:lang w:val="en-GB"/>
        </w:rPr>
        <w:t>In part, o</w:t>
      </w:r>
      <w:r w:rsidR="0037458F" w:rsidRPr="00E967CF">
        <w:rPr>
          <w:lang w:val="en-GB"/>
        </w:rPr>
        <w:t xml:space="preserve">ur objectives were inspired </w:t>
      </w:r>
      <w:r w:rsidR="00556617" w:rsidRPr="00E967CF">
        <w:rPr>
          <w:lang w:val="en-GB"/>
        </w:rPr>
        <w:t>by</w:t>
      </w:r>
      <w:r w:rsidR="0037458F" w:rsidRPr="00E967CF">
        <w:rPr>
          <w:lang w:val="en-GB"/>
        </w:rPr>
        <w:t xml:space="preserve"> the findings of our past studies,</w:t>
      </w:r>
      <w:r w:rsidR="0037458F" w:rsidRPr="00E967CF">
        <w:rPr>
          <w:vertAlign w:val="superscript"/>
          <w:lang w:val="en-GB"/>
        </w:rPr>
        <w:t>12,13</w:t>
      </w:r>
      <w:r w:rsidR="0037458F" w:rsidRPr="00E967CF">
        <w:rPr>
          <w:lang w:val="en-GB"/>
        </w:rPr>
        <w:t xml:space="preserve"> which identified a notable </w:t>
      </w:r>
      <w:r w:rsidR="00594538">
        <w:rPr>
          <w:lang w:val="en-GB"/>
        </w:rPr>
        <w:t>polaris</w:t>
      </w:r>
      <w:r w:rsidR="0037458F" w:rsidRPr="00E967CF">
        <w:rPr>
          <w:lang w:val="en-GB"/>
        </w:rPr>
        <w:t xml:space="preserve">ation in the metabolic response to injury among TBI patients. The studies revealed a U-shaped distribution in the prevalence of LPR &gt; 25, with one substantial </w:t>
      </w:r>
      <w:r w:rsidR="008F7034" w:rsidRPr="00E967CF">
        <w:rPr>
          <w:lang w:val="en-GB"/>
        </w:rPr>
        <w:t>group</w:t>
      </w:r>
      <w:r w:rsidR="0037458F" w:rsidRPr="00E967CF">
        <w:rPr>
          <w:lang w:val="en-GB"/>
        </w:rPr>
        <w:t xml:space="preserve"> of patients never demonstrating this metabolic derangement and another always demonstrating LPR &gt; 25. </w:t>
      </w:r>
      <w:bookmarkStart w:id="11" w:name="_Hlk222783589"/>
      <w:r w:rsidR="007F0EDA">
        <w:rPr>
          <w:lang w:val="en-GB"/>
        </w:rPr>
        <w:t>W</w:t>
      </w:r>
      <w:r w:rsidR="000B6F52">
        <w:rPr>
          <w:lang w:val="en-GB"/>
        </w:rPr>
        <w:t xml:space="preserve">e anticipated </w:t>
      </w:r>
      <w:r w:rsidR="007F0EDA">
        <w:rPr>
          <w:lang w:val="en-GB"/>
        </w:rPr>
        <w:t xml:space="preserve">this polarisation </w:t>
      </w:r>
      <w:r w:rsidR="000B6F52">
        <w:rPr>
          <w:lang w:val="en-GB"/>
        </w:rPr>
        <w:t xml:space="preserve">may </w:t>
      </w:r>
      <w:r w:rsidR="00B362E5">
        <w:rPr>
          <w:lang w:val="en-GB"/>
        </w:rPr>
        <w:t xml:space="preserve">manifest </w:t>
      </w:r>
      <w:r w:rsidR="00EF3C10">
        <w:rPr>
          <w:lang w:val="en-GB"/>
        </w:rPr>
        <w:t>from</w:t>
      </w:r>
      <w:r w:rsidR="00F66C32">
        <w:rPr>
          <w:lang w:val="en-GB"/>
        </w:rPr>
        <w:t xml:space="preserve"> </w:t>
      </w:r>
      <w:r w:rsidR="00B362E5">
        <w:rPr>
          <w:lang w:val="en-GB"/>
        </w:rPr>
        <w:t>differences in</w:t>
      </w:r>
      <w:r w:rsidR="00F66C32">
        <w:rPr>
          <w:lang w:val="en-GB"/>
        </w:rPr>
        <w:t xml:space="preserve"> linear lactate–pyruvate dynamics.</w:t>
      </w:r>
    </w:p>
    <w:p w14:paraId="10A3DE35" w14:textId="09CE34C9" w:rsidR="00C10566" w:rsidRPr="00E967CF" w:rsidRDefault="009A3101" w:rsidP="00C10566">
      <w:pPr>
        <w:rPr>
          <w:lang w:val="en-GB"/>
        </w:rPr>
      </w:pPr>
      <w:bookmarkStart w:id="12" w:name="_Hlk207159910"/>
      <w:bookmarkStart w:id="13" w:name="_Hlk220951934"/>
      <w:bookmarkStart w:id="14" w:name="_Hlk225887847"/>
      <w:bookmarkEnd w:id="11"/>
      <w:r w:rsidRPr="009A3101">
        <w:rPr>
          <w:lang w:val="en-GB"/>
        </w:rPr>
        <w:t xml:space="preserve">Building on </w:t>
      </w:r>
      <w:r w:rsidR="00EC4C20">
        <w:rPr>
          <w:lang w:val="en-GB"/>
        </w:rPr>
        <w:t xml:space="preserve">our group’s </w:t>
      </w:r>
      <w:r w:rsidRPr="009A3101">
        <w:rPr>
          <w:lang w:val="en-GB"/>
        </w:rPr>
        <w:t>earlier linear modelling of the lactate–pyruvate relationship,</w:t>
      </w:r>
      <w:r w:rsidRPr="006F6CBB">
        <w:rPr>
          <w:vertAlign w:val="superscript"/>
          <w:lang w:val="en-GB"/>
        </w:rPr>
        <w:t>14</w:t>
      </w:r>
      <w:r w:rsidRPr="009A3101">
        <w:rPr>
          <w:lang w:val="en-GB"/>
        </w:rPr>
        <w:t xml:space="preserve"> with the lactate dehydrogenase (LDH) enzyme’s linkage of the two substrates serving as the theoretical basis, we hypothesised that this relationship is dynamic, best captured by temporally distinct linear segments each defined by a gradient (</w:t>
      </w:r>
      <w:r w:rsidRPr="005438DD">
        <w:rPr>
          <w:i/>
          <w:iCs/>
          <w:lang w:val="en-GB"/>
        </w:rPr>
        <w:t>m</w:t>
      </w:r>
      <w:r w:rsidR="005438DD">
        <w:rPr>
          <w:lang w:val="en-GB"/>
        </w:rPr>
        <w:t xml:space="preserve">, </w:t>
      </w:r>
      <w:r w:rsidRPr="009A3101">
        <w:rPr>
          <w:lang w:val="en-GB"/>
        </w:rPr>
        <w:t>a proxy for anaerobic activity</w:t>
      </w:r>
      <w:r w:rsidR="005438DD">
        <w:rPr>
          <w:lang w:val="en-GB"/>
        </w:rPr>
        <w:t xml:space="preserve">) </w:t>
      </w:r>
      <w:r w:rsidRPr="009A3101">
        <w:rPr>
          <w:lang w:val="en-GB"/>
        </w:rPr>
        <w:t>and an intercept (</w:t>
      </w:r>
      <w:r w:rsidRPr="005438DD">
        <w:rPr>
          <w:i/>
          <w:iCs/>
          <w:lang w:val="en-GB"/>
        </w:rPr>
        <w:t>b</w:t>
      </w:r>
      <w:r w:rsidR="005438DD">
        <w:rPr>
          <w:lang w:val="en-GB"/>
        </w:rPr>
        <w:t xml:space="preserve">, </w:t>
      </w:r>
      <w:r w:rsidR="005438DD" w:rsidRPr="005438DD">
        <w:rPr>
          <w:lang w:val="en-GB"/>
        </w:rPr>
        <w:t>accounting for metabolic variance</w:t>
      </w:r>
      <w:r w:rsidRPr="009A3101">
        <w:rPr>
          <w:lang w:val="en-GB"/>
        </w:rPr>
        <w:t xml:space="preserve">). Shifts in </w:t>
      </w:r>
      <w:r w:rsidR="00A215B9">
        <w:rPr>
          <w:lang w:val="en-GB"/>
        </w:rPr>
        <w:t>gradient</w:t>
      </w:r>
      <w:r w:rsidRPr="009A3101">
        <w:rPr>
          <w:lang w:val="en-GB"/>
        </w:rPr>
        <w:t xml:space="preserve"> between segments represent </w:t>
      </w:r>
      <w:r w:rsidR="00232C1F">
        <w:rPr>
          <w:lang w:val="en-GB"/>
        </w:rPr>
        <w:t>variance</w:t>
      </w:r>
      <w:r w:rsidRPr="009A3101">
        <w:rPr>
          <w:lang w:val="en-GB"/>
        </w:rPr>
        <w:t xml:space="preserve"> in anaerobic activity, potentially </w:t>
      </w:r>
      <w:r w:rsidR="00232C1F">
        <w:rPr>
          <w:lang w:val="en-GB"/>
        </w:rPr>
        <w:t>indicating changes in</w:t>
      </w:r>
      <w:r w:rsidRPr="009A3101">
        <w:rPr>
          <w:lang w:val="en-GB"/>
        </w:rPr>
        <w:t xml:space="preserve"> substrate delivery or mitochondrial function. These linear relationships correspond to hyperbolic LPR–pyruvate curves, prompting a re-evaluation of the LPR itself.</w:t>
      </w:r>
      <w:bookmarkEnd w:id="14"/>
    </w:p>
    <w:p w14:paraId="42E6BBF2" w14:textId="77777777" w:rsidR="00342AC2" w:rsidRPr="00E967CF" w:rsidRDefault="005E5A60" w:rsidP="005E5A60">
      <w:pPr>
        <w:rPr>
          <w:lang w:val="en-GB"/>
        </w:rPr>
      </w:pPr>
      <w:bookmarkStart w:id="15" w:name="OLE_LINK1"/>
      <w:bookmarkEnd w:id="10"/>
      <w:bookmarkEnd w:id="12"/>
      <w:bookmarkEnd w:id="13"/>
      <w:r w:rsidRPr="00E967CF">
        <w:rPr>
          <w:lang w:val="en-GB"/>
        </w:rPr>
        <w:t>The current study aims to reframe the interpretation of cerebral metabolism in TBI via a dynamic, linear framework. We pursue several interconnected objectives</w:t>
      </w:r>
      <w:r w:rsidR="00342AC2" w:rsidRPr="00E967CF">
        <w:rPr>
          <w:lang w:val="en-GB"/>
        </w:rPr>
        <w:t xml:space="preserve">: </w:t>
      </w:r>
    </w:p>
    <w:p w14:paraId="70C733D3" w14:textId="28071F3F" w:rsidR="00342AC2" w:rsidRPr="00E967CF" w:rsidRDefault="008C7E3C" w:rsidP="00DC0A62">
      <w:pPr>
        <w:pStyle w:val="ListParagraph"/>
        <w:numPr>
          <w:ilvl w:val="0"/>
          <w:numId w:val="11"/>
        </w:numPr>
        <w:rPr>
          <w:lang w:val="en-GB"/>
        </w:rPr>
      </w:pPr>
      <w:r w:rsidRPr="00E967CF">
        <w:rPr>
          <w:lang w:val="en-GB"/>
        </w:rPr>
        <w:t>D</w:t>
      </w:r>
      <w:r w:rsidR="005E5A60" w:rsidRPr="00E967CF">
        <w:rPr>
          <w:lang w:val="en-GB"/>
        </w:rPr>
        <w:t>evelop an automated changepoint-based segmentation pipeline to identify temporally distinct linear segments within each patient's lactate–pyruvate data.</w:t>
      </w:r>
    </w:p>
    <w:p w14:paraId="663A3128" w14:textId="0EBB4CA5" w:rsidR="00342AC2" w:rsidRPr="00E967CF" w:rsidRDefault="008C7E3C" w:rsidP="00DC0A62">
      <w:pPr>
        <w:pStyle w:val="ListParagraph"/>
        <w:numPr>
          <w:ilvl w:val="0"/>
          <w:numId w:val="11"/>
        </w:numPr>
        <w:rPr>
          <w:lang w:val="en-GB"/>
        </w:rPr>
      </w:pPr>
      <w:r w:rsidRPr="00E967CF">
        <w:rPr>
          <w:lang w:val="en-GB"/>
        </w:rPr>
        <w:lastRenderedPageBreak/>
        <w:t>V</w:t>
      </w:r>
      <w:r w:rsidR="005E5A60" w:rsidRPr="00E967CF">
        <w:rPr>
          <w:lang w:val="en-GB"/>
        </w:rPr>
        <w:t>alidate that segment-level linear fits outperform patient-level fits and that the intercept term is empirically necessary.</w:t>
      </w:r>
    </w:p>
    <w:p w14:paraId="32A418D6" w14:textId="2269CBAD" w:rsidR="00342AC2" w:rsidRPr="00E967CF" w:rsidRDefault="008C7E3C" w:rsidP="00DC0A62">
      <w:pPr>
        <w:pStyle w:val="ListParagraph"/>
        <w:numPr>
          <w:ilvl w:val="0"/>
          <w:numId w:val="11"/>
        </w:numPr>
        <w:rPr>
          <w:lang w:val="en-GB"/>
        </w:rPr>
      </w:pPr>
      <w:r w:rsidRPr="00E967CF">
        <w:rPr>
          <w:lang w:val="en-GB"/>
        </w:rPr>
        <w:t>C</w:t>
      </w:r>
      <w:r w:rsidR="005E5A60" w:rsidRPr="00E967CF">
        <w:rPr>
          <w:lang w:val="en-GB"/>
        </w:rPr>
        <w:t>haracteri</w:t>
      </w:r>
      <w:r w:rsidR="00A72555">
        <w:rPr>
          <w:lang w:val="en-GB"/>
        </w:rPr>
        <w:t>s</w:t>
      </w:r>
      <w:r w:rsidR="005E5A60" w:rsidRPr="00E967CF">
        <w:rPr>
          <w:lang w:val="en-GB"/>
        </w:rPr>
        <w:t>e the resulting linear parameters (</w:t>
      </w:r>
      <w:r w:rsidR="005E5A60" w:rsidRPr="00E967CF">
        <w:rPr>
          <w:i/>
          <w:iCs/>
          <w:lang w:val="en-GB"/>
        </w:rPr>
        <w:t>m</w:t>
      </w:r>
      <w:r w:rsidR="005E5A60" w:rsidRPr="00E967CF">
        <w:rPr>
          <w:lang w:val="en-GB"/>
        </w:rPr>
        <w:t xml:space="preserve">, </w:t>
      </w:r>
      <w:r w:rsidR="005E5A60" w:rsidRPr="00E967CF">
        <w:rPr>
          <w:i/>
          <w:iCs/>
          <w:lang w:val="en-GB"/>
        </w:rPr>
        <w:t>b</w:t>
      </w:r>
      <w:r w:rsidR="005E5A60" w:rsidRPr="00E967CF">
        <w:rPr>
          <w:lang w:val="en-GB"/>
        </w:rPr>
        <w:t>) and their within-patient variation.</w:t>
      </w:r>
    </w:p>
    <w:p w14:paraId="77526118" w14:textId="66EC3D16" w:rsidR="00342AC2" w:rsidRPr="00E967CF" w:rsidRDefault="008C7E3C" w:rsidP="00DC0A62">
      <w:pPr>
        <w:pStyle w:val="ListParagraph"/>
        <w:numPr>
          <w:ilvl w:val="0"/>
          <w:numId w:val="11"/>
        </w:numPr>
        <w:rPr>
          <w:lang w:val="en-GB"/>
        </w:rPr>
      </w:pPr>
      <w:r w:rsidRPr="00E967CF">
        <w:rPr>
          <w:lang w:val="en-GB"/>
        </w:rPr>
        <w:t>Q</w:t>
      </w:r>
      <w:r w:rsidR="005E5A60" w:rsidRPr="00E967CF">
        <w:rPr>
          <w:lang w:val="en-GB"/>
        </w:rPr>
        <w:t>uantify how the intercept confounds the LPR through the resulting hyperbolic LPR–pyruvate relationship.</w:t>
      </w:r>
    </w:p>
    <w:p w14:paraId="24D6BCE3" w14:textId="07BA796E" w:rsidR="00342AC2" w:rsidRPr="00E967CF" w:rsidRDefault="008C7E3C" w:rsidP="00DC0A62">
      <w:pPr>
        <w:pStyle w:val="ListParagraph"/>
        <w:numPr>
          <w:ilvl w:val="0"/>
          <w:numId w:val="11"/>
        </w:numPr>
        <w:rPr>
          <w:lang w:val="en-GB"/>
        </w:rPr>
      </w:pPr>
      <w:r w:rsidRPr="00E967CF">
        <w:rPr>
          <w:lang w:val="en-GB"/>
        </w:rPr>
        <w:t>E</w:t>
      </w:r>
      <w:r w:rsidR="005E5A60" w:rsidRPr="00E967CF">
        <w:rPr>
          <w:lang w:val="en-GB"/>
        </w:rPr>
        <w:t xml:space="preserve">xplain the previously observed </w:t>
      </w:r>
      <w:r w:rsidR="00594538">
        <w:rPr>
          <w:lang w:val="en-GB"/>
        </w:rPr>
        <w:t>polaris</w:t>
      </w:r>
      <w:r w:rsidR="005E5A60" w:rsidRPr="00E967CF">
        <w:rPr>
          <w:lang w:val="en-GB"/>
        </w:rPr>
        <w:t>ation in LPR &gt; 25 prevalence by linking it to fundamental differences in underlying linear lactate–pyruvate dynamics.</w:t>
      </w:r>
      <w:r w:rsidR="005E5A60" w:rsidRPr="00E967CF">
        <w:rPr>
          <w:vertAlign w:val="superscript"/>
          <w:lang w:val="en-GB"/>
        </w:rPr>
        <w:t>12,13</w:t>
      </w:r>
    </w:p>
    <w:p w14:paraId="26F02819" w14:textId="4B12B8D1" w:rsidR="00342AC2" w:rsidRPr="00E967CF" w:rsidRDefault="008C7E3C" w:rsidP="00DC0A62">
      <w:pPr>
        <w:pStyle w:val="ListParagraph"/>
        <w:numPr>
          <w:ilvl w:val="0"/>
          <w:numId w:val="11"/>
        </w:numPr>
        <w:rPr>
          <w:lang w:val="en-GB"/>
        </w:rPr>
      </w:pPr>
      <w:r w:rsidRPr="00E967CF">
        <w:rPr>
          <w:lang w:val="en-GB"/>
        </w:rPr>
        <w:t>A</w:t>
      </w:r>
      <w:r w:rsidR="005E5A60" w:rsidRPr="00E967CF">
        <w:rPr>
          <w:lang w:val="en-GB"/>
        </w:rPr>
        <w:t xml:space="preserve">ssess how faithfully the LPR tracks the underlying </w:t>
      </w:r>
      <w:r w:rsidR="005979B7" w:rsidRPr="00E967CF">
        <w:rPr>
          <w:lang w:val="en-GB"/>
        </w:rPr>
        <w:t>gradient</w:t>
      </w:r>
      <w:r w:rsidR="005E5A60" w:rsidRPr="00E967CF">
        <w:rPr>
          <w:lang w:val="en-GB"/>
        </w:rPr>
        <w:t xml:space="preserve"> and test whether the </w:t>
      </w:r>
      <w:r w:rsidR="005979B7" w:rsidRPr="00E967CF">
        <w:rPr>
          <w:lang w:val="en-GB"/>
        </w:rPr>
        <w:t>gradient</w:t>
      </w:r>
      <w:r w:rsidR="005E5A60" w:rsidRPr="00E967CF">
        <w:rPr>
          <w:lang w:val="en-GB"/>
        </w:rPr>
        <w:t xml:space="preserve"> is associated with substrate delivery, as indicated by cerebral glucose.</w:t>
      </w:r>
    </w:p>
    <w:p w14:paraId="7294530B" w14:textId="129599BA" w:rsidR="00342AC2" w:rsidRPr="00E967CF" w:rsidRDefault="008C7E3C" w:rsidP="00DC0A62">
      <w:pPr>
        <w:pStyle w:val="ListParagraph"/>
        <w:numPr>
          <w:ilvl w:val="0"/>
          <w:numId w:val="11"/>
        </w:numPr>
        <w:rPr>
          <w:lang w:val="en-GB"/>
        </w:rPr>
      </w:pPr>
      <w:r w:rsidRPr="00E967CF">
        <w:rPr>
          <w:lang w:val="en-GB"/>
        </w:rPr>
        <w:t>T</w:t>
      </w:r>
      <w:r w:rsidR="005E5A60" w:rsidRPr="00E967CF">
        <w:rPr>
          <w:lang w:val="en-GB"/>
        </w:rPr>
        <w:t xml:space="preserve">est whether the </w:t>
      </w:r>
      <w:r w:rsidR="005979B7" w:rsidRPr="00E967CF">
        <w:rPr>
          <w:lang w:val="en-GB"/>
        </w:rPr>
        <w:t>gradient</w:t>
      </w:r>
      <w:r w:rsidR="005E5A60" w:rsidRPr="00E967CF">
        <w:rPr>
          <w:lang w:val="en-GB"/>
        </w:rPr>
        <w:t xml:space="preserve"> (</w:t>
      </w:r>
      <w:r w:rsidR="005E5A60" w:rsidRPr="00E967CF">
        <w:rPr>
          <w:i/>
          <w:iCs/>
          <w:lang w:val="en-GB"/>
        </w:rPr>
        <w:t>m</w:t>
      </w:r>
      <w:r w:rsidR="005E5A60" w:rsidRPr="00E967CF">
        <w:rPr>
          <w:lang w:val="en-GB"/>
        </w:rPr>
        <w:t>), as a proxy for anaerobic activity, is associated with functional outcome.</w:t>
      </w:r>
    </w:p>
    <w:p w14:paraId="6B30A83C" w14:textId="0CD9553A" w:rsidR="00342AC2" w:rsidRPr="00E967CF" w:rsidRDefault="008C7E3C" w:rsidP="00DC0A62">
      <w:pPr>
        <w:pStyle w:val="ListParagraph"/>
        <w:numPr>
          <w:ilvl w:val="0"/>
          <w:numId w:val="11"/>
        </w:numPr>
        <w:rPr>
          <w:lang w:val="en-GB"/>
        </w:rPr>
      </w:pPr>
      <w:r w:rsidRPr="00E967CF">
        <w:rPr>
          <w:lang w:val="en-GB"/>
        </w:rPr>
        <w:t>A</w:t>
      </w:r>
      <w:r w:rsidR="005E5A60" w:rsidRPr="00E967CF">
        <w:rPr>
          <w:lang w:val="en-GB"/>
        </w:rPr>
        <w:t>ssess the generali</w:t>
      </w:r>
      <w:r w:rsidR="003964AC">
        <w:rPr>
          <w:lang w:val="en-GB"/>
        </w:rPr>
        <w:t>s</w:t>
      </w:r>
      <w:r w:rsidR="005E5A60" w:rsidRPr="00E967CF">
        <w:rPr>
          <w:lang w:val="en-GB"/>
        </w:rPr>
        <w:t>ability of our findings through external validation in an independent TBI cohort.</w:t>
      </w:r>
    </w:p>
    <w:p w14:paraId="5EF6652D" w14:textId="2DF43273" w:rsidR="005E5A60" w:rsidRPr="00E967CF" w:rsidRDefault="008C7E3C" w:rsidP="00DC0A62">
      <w:pPr>
        <w:pStyle w:val="ListParagraph"/>
        <w:numPr>
          <w:ilvl w:val="0"/>
          <w:numId w:val="11"/>
        </w:numPr>
        <w:rPr>
          <w:lang w:val="en-GB"/>
        </w:rPr>
      </w:pPr>
      <w:r w:rsidRPr="00E967CF">
        <w:rPr>
          <w:lang w:val="en-GB"/>
        </w:rPr>
        <w:t>P</w:t>
      </w:r>
      <w:r w:rsidR="005E5A60" w:rsidRPr="00E967CF">
        <w:rPr>
          <w:lang w:val="en-GB"/>
        </w:rPr>
        <w:t xml:space="preserve">rovide mechanistic evidence linking the </w:t>
      </w:r>
      <w:r w:rsidR="005979B7" w:rsidRPr="00E967CF">
        <w:rPr>
          <w:lang w:val="en-GB"/>
        </w:rPr>
        <w:t>gradient</w:t>
      </w:r>
      <w:r w:rsidR="005E5A60" w:rsidRPr="00E967CF">
        <w:rPr>
          <w:lang w:val="en-GB"/>
        </w:rPr>
        <w:t xml:space="preserve"> to mitochondrial dysfunction using an </w:t>
      </w:r>
      <w:r w:rsidR="005E5A60" w:rsidRPr="00E967CF">
        <w:rPr>
          <w:i/>
          <w:iCs/>
          <w:lang w:val="en-GB"/>
        </w:rPr>
        <w:t>in vitro</w:t>
      </w:r>
      <w:r w:rsidR="005E5A60" w:rsidRPr="00E967CF">
        <w:rPr>
          <w:lang w:val="en-GB"/>
        </w:rPr>
        <w:t xml:space="preserve"> neuronal model.</w:t>
      </w:r>
    </w:p>
    <w:bookmarkEnd w:id="15"/>
    <w:p w14:paraId="2F71F83F" w14:textId="0072852F" w:rsidR="007354E5" w:rsidRPr="00E967CF" w:rsidRDefault="005E5A60" w:rsidP="005E5A60">
      <w:pPr>
        <w:rPr>
          <w:lang w:val="en-GB"/>
        </w:rPr>
      </w:pPr>
      <w:r w:rsidRPr="00E967CF">
        <w:rPr>
          <w:lang w:val="en-GB"/>
        </w:rPr>
        <w:t xml:space="preserve">This work </w:t>
      </w:r>
      <w:r w:rsidR="00354DFD">
        <w:rPr>
          <w:lang w:val="en-GB"/>
        </w:rPr>
        <w:t>advances</w:t>
      </w:r>
      <w:r w:rsidRPr="00E967CF">
        <w:rPr>
          <w:lang w:val="en-GB"/>
        </w:rPr>
        <w:t xml:space="preserve"> the interpretation of CMD data, moving beyond isolated LPR. </w:t>
      </w:r>
      <w:r w:rsidR="00FA5788">
        <w:rPr>
          <w:lang w:val="en-GB"/>
        </w:rPr>
        <w:t>Through</w:t>
      </w:r>
      <w:r w:rsidRPr="00E967CF">
        <w:rPr>
          <w:lang w:val="en-GB"/>
        </w:rPr>
        <w:t xml:space="preserve"> identifying the </w:t>
      </w:r>
      <w:r w:rsidR="00EC4C20">
        <w:rPr>
          <w:lang w:val="en-GB"/>
        </w:rPr>
        <w:t xml:space="preserve">linear lactate–pyruvate </w:t>
      </w:r>
      <w:r w:rsidR="005979B7" w:rsidRPr="00E967CF">
        <w:rPr>
          <w:lang w:val="en-GB"/>
        </w:rPr>
        <w:t>gradient</w:t>
      </w:r>
      <w:r w:rsidRPr="00E967CF">
        <w:rPr>
          <w:lang w:val="en-GB"/>
        </w:rPr>
        <w:t xml:space="preserve"> (</w:t>
      </w:r>
      <w:r w:rsidRPr="00E967CF">
        <w:rPr>
          <w:i/>
          <w:iCs/>
          <w:lang w:val="en-GB"/>
        </w:rPr>
        <w:t>m</w:t>
      </w:r>
      <w:r w:rsidRPr="00E967CF">
        <w:rPr>
          <w:lang w:val="en-GB"/>
        </w:rPr>
        <w:t xml:space="preserve">) as a more direct and outcome-associated indicator of anaerobic activity than the LPR, externally validating these findings in an independent cohort, and providing </w:t>
      </w:r>
      <w:r w:rsidRPr="00E967CF">
        <w:rPr>
          <w:i/>
          <w:iCs/>
          <w:lang w:val="en-GB"/>
        </w:rPr>
        <w:t>in vitro</w:t>
      </w:r>
      <w:r w:rsidRPr="00E967CF">
        <w:rPr>
          <w:lang w:val="en-GB"/>
        </w:rPr>
        <w:t xml:space="preserve"> </w:t>
      </w:r>
      <w:r w:rsidR="00517CE4" w:rsidRPr="00E967CF">
        <w:rPr>
          <w:lang w:val="en-GB"/>
        </w:rPr>
        <w:t>evidence</w:t>
      </w:r>
      <w:r w:rsidRPr="00E967CF">
        <w:rPr>
          <w:lang w:val="en-GB"/>
        </w:rPr>
        <w:t xml:space="preserve">, we provide a </w:t>
      </w:r>
      <w:r w:rsidR="00FA5788">
        <w:rPr>
          <w:lang w:val="en-GB"/>
        </w:rPr>
        <w:t>novel</w:t>
      </w:r>
      <w:r w:rsidRPr="00E967CF">
        <w:rPr>
          <w:lang w:val="en-GB"/>
        </w:rPr>
        <w:t xml:space="preserve"> framework for understanding inter- and intra-patient metabolic variability</w:t>
      </w:r>
      <w:r w:rsidR="00FA5788">
        <w:rPr>
          <w:lang w:val="en-GB"/>
        </w:rPr>
        <w:t xml:space="preserve"> and </w:t>
      </w:r>
      <w:r w:rsidRPr="00E967CF">
        <w:rPr>
          <w:lang w:val="en-GB"/>
        </w:rPr>
        <w:t xml:space="preserve">the potential to </w:t>
      </w:r>
      <w:r w:rsidR="00FA5788">
        <w:rPr>
          <w:lang w:val="en-GB"/>
        </w:rPr>
        <w:t>enhance</w:t>
      </w:r>
      <w:r w:rsidRPr="00E967CF">
        <w:rPr>
          <w:lang w:val="en-GB"/>
        </w:rPr>
        <w:t xml:space="preserve"> retrospective analysi</w:t>
      </w:r>
      <w:r w:rsidR="00FA5788">
        <w:rPr>
          <w:lang w:val="en-GB"/>
        </w:rPr>
        <w:t>s for guiding</w:t>
      </w:r>
      <w:r w:rsidRPr="00E967CF">
        <w:rPr>
          <w:lang w:val="en-GB"/>
        </w:rPr>
        <w:t xml:space="preserve"> </w:t>
      </w:r>
      <w:r w:rsidR="009F0DBC">
        <w:rPr>
          <w:lang w:val="en-GB"/>
        </w:rPr>
        <w:t>personalis</w:t>
      </w:r>
      <w:r w:rsidRPr="00E967CF">
        <w:rPr>
          <w:lang w:val="en-GB"/>
        </w:rPr>
        <w:t>ed therapeutic interventions in TBI.</w:t>
      </w:r>
    </w:p>
    <w:p w14:paraId="242C8937" w14:textId="3A7B208D" w:rsidR="007354E5" w:rsidRPr="00E967CF" w:rsidRDefault="00E34C4C" w:rsidP="00C654C8">
      <w:pPr>
        <w:pStyle w:val="Heading1"/>
        <w:rPr>
          <w:lang w:val="en-GB"/>
        </w:rPr>
      </w:pPr>
      <w:r w:rsidRPr="00E967CF">
        <w:rPr>
          <w:lang w:val="en-GB"/>
        </w:rPr>
        <w:t xml:space="preserve">2 </w:t>
      </w:r>
      <w:r w:rsidR="007354E5" w:rsidRPr="00E967CF">
        <w:rPr>
          <w:lang w:val="en-GB"/>
        </w:rPr>
        <w:t>Materials and methods</w:t>
      </w:r>
    </w:p>
    <w:p w14:paraId="5B98B674" w14:textId="6AE22271" w:rsidR="007354E5" w:rsidRPr="00E967CF" w:rsidRDefault="008710E6" w:rsidP="00205120">
      <w:pPr>
        <w:pStyle w:val="Heading2"/>
        <w:rPr>
          <w:lang w:val="en-GB"/>
        </w:rPr>
      </w:pPr>
      <w:r w:rsidRPr="00E967CF">
        <w:rPr>
          <w:lang w:val="en-GB"/>
        </w:rPr>
        <w:t xml:space="preserve">2.1 </w:t>
      </w:r>
      <w:r w:rsidR="00D70325" w:rsidRPr="00E967CF">
        <w:rPr>
          <w:lang w:val="en-GB"/>
        </w:rPr>
        <w:t>Study population</w:t>
      </w:r>
    </w:p>
    <w:p w14:paraId="5D5EB564" w14:textId="77777777" w:rsidR="00543586" w:rsidRDefault="00B944CC" w:rsidP="008A6A84">
      <w:pPr>
        <w:rPr>
          <w:lang w:val="en-GB"/>
        </w:rPr>
      </w:pPr>
      <w:r w:rsidRPr="00E967CF">
        <w:rPr>
          <w:lang w:val="en-GB"/>
        </w:rPr>
        <w:t>This retrospective analysis utili</w:t>
      </w:r>
      <w:r w:rsidR="00A72555">
        <w:rPr>
          <w:lang w:val="en-GB"/>
        </w:rPr>
        <w:t>s</w:t>
      </w:r>
      <w:r w:rsidRPr="00E967CF">
        <w:rPr>
          <w:lang w:val="en-GB"/>
        </w:rPr>
        <w:t xml:space="preserve">ed a comprehensive neuro-monitoring dataset from 619 patients with acute TBI, collected prospectively at the neurocritical care unit of Addenbrooke’s Hospital, Cambridge, UK, between December 1997 and January 2017. </w:t>
      </w:r>
      <w:r w:rsidR="008B4445" w:rsidRPr="008B4445">
        <w:rPr>
          <w:lang w:val="en-GB"/>
        </w:rPr>
        <w:t xml:space="preserve">The head injury programme, under which the data was collected, received approval from the Cambridge Local Research Ethics Committee (REC reference: 97/290; IRAS project ID: 39184) on December 5, 1997, and from Addenbrooke's Hospital's Research and Development Department. Informed consent was obtained from the next of kin or a legally authorised </w:t>
      </w:r>
      <w:r w:rsidR="008B4445" w:rsidRPr="008B4445">
        <w:rPr>
          <w:lang w:val="en-GB"/>
        </w:rPr>
        <w:lastRenderedPageBreak/>
        <w:t>representative, in written or verbal form, with provision for deferred consent.</w:t>
      </w:r>
      <w:r w:rsidRPr="00E967CF">
        <w:rPr>
          <w:lang w:val="en-GB"/>
        </w:rPr>
        <w:t xml:space="preserve"> The cohort comprised patients aged 16 and over, with a median age of 37 years (IQR 24–52), and was predominantly male (76.3%). Patients were managed according to standardi</w:t>
      </w:r>
      <w:r w:rsidR="003964AC">
        <w:rPr>
          <w:lang w:val="en-GB"/>
        </w:rPr>
        <w:t>s</w:t>
      </w:r>
      <w:r w:rsidRPr="00E967CF">
        <w:rPr>
          <w:lang w:val="en-GB"/>
        </w:rPr>
        <w:t>ed neurocritical care protocols and monitored using established multimodal monitoring techniques; for complete details on clinical management protocols and multimodal monitoring specifications, refer to Supplementary materials S</w:t>
      </w:r>
      <w:r w:rsidR="00E81F6B" w:rsidRPr="00E967CF">
        <w:rPr>
          <w:lang w:val="en-GB"/>
        </w:rPr>
        <w:t>M</w:t>
      </w:r>
      <w:r w:rsidRPr="00E967CF">
        <w:rPr>
          <w:lang w:val="en-GB"/>
        </w:rPr>
        <w:t>1. Previous analyses on subsets and the entirety of this cohort have been published.</w:t>
      </w:r>
      <w:r w:rsidRPr="00E967CF">
        <w:rPr>
          <w:vertAlign w:val="superscript"/>
          <w:lang w:val="en-GB"/>
        </w:rPr>
        <w:t>3,6,12</w:t>
      </w:r>
      <w:r w:rsidRPr="00E967CF">
        <w:rPr>
          <w:lang w:val="en-GB"/>
        </w:rPr>
        <w:t xml:space="preserve"> </w:t>
      </w:r>
    </w:p>
    <w:p w14:paraId="01FAFFA3" w14:textId="4842EA54" w:rsidR="001D78E9" w:rsidRPr="00E967CF" w:rsidRDefault="007F2AC0" w:rsidP="008A6A84">
      <w:pPr>
        <w:rPr>
          <w:lang w:val="en-GB"/>
        </w:rPr>
      </w:pPr>
      <w:r w:rsidRPr="00E967CF">
        <w:rPr>
          <w:lang w:val="en-GB"/>
        </w:rPr>
        <w:t xml:space="preserve">For external validation, an independent cohort of 81 CMD-monitored patients with severe TBI from Uppsala University Hospital, Sweden (median age 39 years, IQR 20–56; 75.3% male), was used </w:t>
      </w:r>
      <w:r w:rsidR="008B4445" w:rsidRPr="008B4445">
        <w:rPr>
          <w:lang w:val="en-GB"/>
        </w:rPr>
        <w:t>(ethical approval: Swedish Ethical Review Authority, Uppsala, Sweden; approval numbers: #2010/138, #2010/138/1, #2010/379, #2015/224, #2020-05462; written informed consent from next-of-kin)</w:t>
      </w:r>
      <w:r w:rsidRPr="00E967CF">
        <w:rPr>
          <w:lang w:val="en-GB"/>
        </w:rPr>
        <w:t>. Details of this cohort, including study population</w:t>
      </w:r>
      <w:r w:rsidR="00543586">
        <w:rPr>
          <w:lang w:val="en-GB"/>
        </w:rPr>
        <w:t xml:space="preserve"> and</w:t>
      </w:r>
      <w:r w:rsidRPr="00E967CF">
        <w:rPr>
          <w:lang w:val="en-GB"/>
        </w:rPr>
        <w:t xml:space="preserve"> clinical management, are provided in Supplementary materials SM3.</w:t>
      </w:r>
    </w:p>
    <w:p w14:paraId="4BDB1E72" w14:textId="1DF0663C" w:rsidR="001D78E9" w:rsidRPr="00E967CF" w:rsidRDefault="001D78E9" w:rsidP="001D78E9">
      <w:pPr>
        <w:pStyle w:val="Heading2"/>
        <w:rPr>
          <w:lang w:val="en-GB"/>
        </w:rPr>
      </w:pPr>
      <w:bookmarkStart w:id="16" w:name="_Hlk211426972"/>
      <w:r w:rsidRPr="00E967CF">
        <w:rPr>
          <w:lang w:val="en-GB"/>
        </w:rPr>
        <w:t>2.</w:t>
      </w:r>
      <w:r w:rsidR="00903C57" w:rsidRPr="00E967CF">
        <w:rPr>
          <w:lang w:val="en-GB"/>
        </w:rPr>
        <w:t>2</w:t>
      </w:r>
      <w:r w:rsidRPr="00E967CF">
        <w:rPr>
          <w:lang w:val="en-GB"/>
        </w:rPr>
        <w:t xml:space="preserve"> </w:t>
      </w:r>
      <w:r w:rsidR="009D5BC8" w:rsidRPr="00E967CF">
        <w:rPr>
          <w:lang w:val="en-GB"/>
        </w:rPr>
        <w:t>Data integration and pre</w:t>
      </w:r>
      <w:r w:rsidR="0067568E" w:rsidRPr="00E967CF">
        <w:rPr>
          <w:lang w:val="en-GB"/>
        </w:rPr>
        <w:t>-</w:t>
      </w:r>
      <w:r w:rsidR="009D5BC8" w:rsidRPr="00E967CF">
        <w:rPr>
          <w:lang w:val="en-GB"/>
        </w:rPr>
        <w:t>processing</w:t>
      </w:r>
    </w:p>
    <w:p w14:paraId="7DC70D2F" w14:textId="6E2C295A" w:rsidR="00021044" w:rsidRPr="00E967CF" w:rsidRDefault="00021044" w:rsidP="001D78E9">
      <w:pPr>
        <w:rPr>
          <w:lang w:val="en-GB"/>
        </w:rPr>
      </w:pPr>
      <w:bookmarkStart w:id="17" w:name="_Hlk204961769"/>
      <w:bookmarkStart w:id="18" w:name="_Hlk225888674"/>
      <w:r w:rsidRPr="00E967CF">
        <w:rPr>
          <w:lang w:val="en-GB"/>
        </w:rPr>
        <w:t>The present study draws on the integrated, pre</w:t>
      </w:r>
      <w:r w:rsidR="0067568E" w:rsidRPr="00E967CF">
        <w:rPr>
          <w:lang w:val="en-GB"/>
        </w:rPr>
        <w:t>-</w:t>
      </w:r>
      <w:r w:rsidRPr="00E967CF">
        <w:rPr>
          <w:lang w:val="en-GB"/>
        </w:rPr>
        <w:t>processed multimodal dataset that our group generated for earlier studies.</w:t>
      </w:r>
      <w:r w:rsidRPr="00E967CF">
        <w:rPr>
          <w:vertAlign w:val="superscript"/>
          <w:lang w:val="en-GB"/>
        </w:rPr>
        <w:t>3,6</w:t>
      </w:r>
      <w:r w:rsidRPr="00E967CF">
        <w:rPr>
          <w:lang w:val="en-GB"/>
        </w:rPr>
        <w:t xml:space="preserve"> The raw data</w:t>
      </w:r>
      <w:r w:rsidR="007E76F6" w:rsidRPr="00E967CF">
        <w:rPr>
          <w:lang w:val="en-GB"/>
        </w:rPr>
        <w:t xml:space="preserve">, </w:t>
      </w:r>
      <w:r w:rsidRPr="00E967CF">
        <w:rPr>
          <w:lang w:val="en-GB"/>
        </w:rPr>
        <w:t>56,307 observations across 619 patients</w:t>
      </w:r>
      <w:r w:rsidR="007E76F6" w:rsidRPr="00E967CF">
        <w:rPr>
          <w:lang w:val="en-GB"/>
        </w:rPr>
        <w:t xml:space="preserve">, </w:t>
      </w:r>
      <w:r w:rsidRPr="00E967CF">
        <w:rPr>
          <w:lang w:val="en-GB"/>
        </w:rPr>
        <w:t xml:space="preserve">were imported using custom R scripts. The resulting dataset, comprising 56,250 multimodal observations from 616 patients, was accessed for the current study on May 1, 2025, after all identifying information had been </w:t>
      </w:r>
      <w:r w:rsidR="0004461A">
        <w:rPr>
          <w:lang w:val="en-GB"/>
        </w:rPr>
        <w:t>anonymis</w:t>
      </w:r>
      <w:r w:rsidRPr="00E967CF">
        <w:rPr>
          <w:lang w:val="en-GB"/>
        </w:rPr>
        <w:t>ed.</w:t>
      </w:r>
      <w:bookmarkEnd w:id="17"/>
      <w:r w:rsidRPr="00E967CF">
        <w:rPr>
          <w:lang w:val="en-GB"/>
        </w:rPr>
        <w:t xml:space="preserve"> </w:t>
      </w:r>
      <w:r w:rsidR="00745C4D">
        <w:rPr>
          <w:lang w:val="en-GB"/>
        </w:rPr>
        <w:t>T</w:t>
      </w:r>
      <w:r w:rsidRPr="00E967CF">
        <w:rPr>
          <w:lang w:val="en-GB"/>
        </w:rPr>
        <w:t>he dataset was then subjected to additional pre</w:t>
      </w:r>
      <w:r w:rsidR="0067568E" w:rsidRPr="00E967CF">
        <w:rPr>
          <w:lang w:val="en-GB"/>
        </w:rPr>
        <w:t>-</w:t>
      </w:r>
      <w:r w:rsidRPr="00E967CF">
        <w:rPr>
          <w:lang w:val="en-GB"/>
        </w:rPr>
        <w:t xml:space="preserve">processing for </w:t>
      </w:r>
      <w:r w:rsidR="00832717" w:rsidRPr="00E967CF">
        <w:rPr>
          <w:lang w:val="en-GB"/>
        </w:rPr>
        <w:t>linear lactate–pyruvate dynamics</w:t>
      </w:r>
      <w:r w:rsidRPr="00E967CF">
        <w:rPr>
          <w:lang w:val="en-GB"/>
        </w:rPr>
        <w:t>. The pre</w:t>
      </w:r>
      <w:r w:rsidR="0067568E" w:rsidRPr="00E967CF">
        <w:rPr>
          <w:lang w:val="en-GB"/>
        </w:rPr>
        <w:t>-</w:t>
      </w:r>
      <w:r w:rsidRPr="00E967CF">
        <w:rPr>
          <w:lang w:val="en-GB"/>
        </w:rPr>
        <w:t xml:space="preserve">processing pipeline produced a cleaned dataset containing </w:t>
      </w:r>
      <w:r w:rsidR="00EC428F" w:rsidRPr="00E967CF">
        <w:rPr>
          <w:lang w:val="en-GB"/>
        </w:rPr>
        <w:t>50,797</w:t>
      </w:r>
      <w:r w:rsidRPr="00E967CF">
        <w:rPr>
          <w:lang w:val="en-GB"/>
        </w:rPr>
        <w:t xml:space="preserve"> total observations (with complete data for lactate, pyruvate, and LPR) across </w:t>
      </w:r>
      <w:r w:rsidR="00EC428F" w:rsidRPr="00E967CF">
        <w:rPr>
          <w:lang w:val="en-GB"/>
        </w:rPr>
        <w:t>510</w:t>
      </w:r>
      <w:r w:rsidRPr="00E967CF">
        <w:rPr>
          <w:lang w:val="en-GB"/>
        </w:rPr>
        <w:t xml:space="preserve"> patients. Full pre</w:t>
      </w:r>
      <w:r w:rsidR="0067568E" w:rsidRPr="00E967CF">
        <w:rPr>
          <w:lang w:val="en-GB"/>
        </w:rPr>
        <w:t>-</w:t>
      </w:r>
      <w:r w:rsidRPr="00E967CF">
        <w:rPr>
          <w:lang w:val="en-GB"/>
        </w:rPr>
        <w:t xml:space="preserve">processing details may be found in the Supplementary </w:t>
      </w:r>
      <w:r w:rsidR="001123DE" w:rsidRPr="00E967CF">
        <w:rPr>
          <w:lang w:val="en-GB"/>
        </w:rPr>
        <w:t>materials</w:t>
      </w:r>
      <w:r w:rsidRPr="00E967CF">
        <w:rPr>
          <w:lang w:val="en-GB"/>
        </w:rPr>
        <w:t xml:space="preserve"> S</w:t>
      </w:r>
      <w:r w:rsidR="00E81F6B" w:rsidRPr="00E967CF">
        <w:rPr>
          <w:lang w:val="en-GB"/>
        </w:rPr>
        <w:t>M</w:t>
      </w:r>
      <w:r w:rsidRPr="00E967CF">
        <w:rPr>
          <w:lang w:val="en-GB"/>
        </w:rPr>
        <w:t>2</w:t>
      </w:r>
      <w:r w:rsidR="00CB3A47">
        <w:rPr>
          <w:lang w:val="en-GB"/>
        </w:rPr>
        <w:t xml:space="preserve"> for the Cambridge cohort and SM3.iii for the Uppsala cohort</w:t>
      </w:r>
      <w:r w:rsidRPr="00E967CF">
        <w:rPr>
          <w:lang w:val="en-GB"/>
        </w:rPr>
        <w:t>.</w:t>
      </w:r>
    </w:p>
    <w:bookmarkEnd w:id="16"/>
    <w:bookmarkEnd w:id="18"/>
    <w:p w14:paraId="0A35765F" w14:textId="4D710F8B" w:rsidR="0091752E" w:rsidRPr="00E967CF" w:rsidRDefault="0091752E" w:rsidP="0091752E">
      <w:pPr>
        <w:pStyle w:val="Heading2"/>
        <w:rPr>
          <w:lang w:val="en-GB"/>
        </w:rPr>
      </w:pPr>
      <w:r w:rsidRPr="00E967CF">
        <w:rPr>
          <w:lang w:val="en-GB"/>
        </w:rPr>
        <w:t>2.</w:t>
      </w:r>
      <w:r w:rsidR="002F6E8C" w:rsidRPr="00E967CF">
        <w:rPr>
          <w:lang w:val="en-GB"/>
        </w:rPr>
        <w:t>3</w:t>
      </w:r>
      <w:r w:rsidRPr="00E967CF">
        <w:rPr>
          <w:lang w:val="en-GB"/>
        </w:rPr>
        <w:t xml:space="preserve"> </w:t>
      </w:r>
      <w:r w:rsidR="00DF0B96" w:rsidRPr="00E967CF">
        <w:rPr>
          <w:lang w:val="en-GB"/>
        </w:rPr>
        <w:t>Linear characteri</w:t>
      </w:r>
      <w:r w:rsidR="00A72555">
        <w:rPr>
          <w:lang w:val="en-GB"/>
        </w:rPr>
        <w:t>s</w:t>
      </w:r>
      <w:r w:rsidR="00DF0B96" w:rsidRPr="00E967CF">
        <w:rPr>
          <w:lang w:val="en-GB"/>
        </w:rPr>
        <w:t>ation of lactate–pyruvate data</w:t>
      </w:r>
    </w:p>
    <w:p w14:paraId="69BB2FBC" w14:textId="7FC36864" w:rsidR="007354E5" w:rsidRPr="00E967CF" w:rsidRDefault="00861315" w:rsidP="00205120">
      <w:pPr>
        <w:pStyle w:val="Heading3"/>
        <w:rPr>
          <w:lang w:val="en-GB"/>
        </w:rPr>
      </w:pPr>
      <w:r w:rsidRPr="00E967CF">
        <w:rPr>
          <w:lang w:val="en-GB"/>
        </w:rPr>
        <w:t>2.3.i Theoretical basis</w:t>
      </w:r>
    </w:p>
    <w:p w14:paraId="0D4DCE37" w14:textId="71D197EF" w:rsidR="00A215FF" w:rsidRPr="00E967CF" w:rsidRDefault="004167DD" w:rsidP="00A215FF">
      <w:pPr>
        <w:rPr>
          <w:lang w:val="en-GB"/>
        </w:rPr>
      </w:pPr>
      <w:r w:rsidRPr="00E967CF">
        <w:rPr>
          <w:lang w:val="en-GB"/>
        </w:rPr>
        <w:t xml:space="preserve">The theoretical foundation </w:t>
      </w:r>
      <w:r w:rsidR="00660981" w:rsidRPr="00E967CF">
        <w:rPr>
          <w:lang w:val="en-GB"/>
        </w:rPr>
        <w:t>of</w:t>
      </w:r>
      <w:r w:rsidRPr="00E967CF">
        <w:rPr>
          <w:lang w:val="en-GB"/>
        </w:rPr>
        <w:t xml:space="preserve"> our framework is the intracellular LDH reaction. This reaction is fast and reversible, operating in near-equilibrium within the living cell:</w:t>
      </w:r>
    </w:p>
    <w:p w14:paraId="2CCF766A" w14:textId="5152B8F6" w:rsidR="00D56C8C" w:rsidRPr="00E967CF" w:rsidRDefault="00A17EEF" w:rsidP="00D56C8C">
      <w:pPr>
        <w:rPr>
          <w:lang w:val="en-GB"/>
        </w:rPr>
      </w:pPr>
      <m:oMath>
        <m:r>
          <w:rPr>
            <w:rFonts w:ascii="Cambria Math" w:hAnsi="Cambria Math"/>
            <w:lang w:val="en-GB"/>
          </w:rPr>
          <m:t>Lactate+</m:t>
        </m:r>
        <m:sSup>
          <m:sSupPr>
            <m:ctrlPr>
              <w:rPr>
                <w:rFonts w:ascii="Cambria Math" w:hAnsi="Cambria Math"/>
                <w:i/>
                <w:lang w:val="en-GB"/>
              </w:rPr>
            </m:ctrlPr>
          </m:sSupPr>
          <m:e>
            <m:r>
              <w:rPr>
                <w:rFonts w:ascii="Cambria Math" w:hAnsi="Cambria Math"/>
                <w:lang w:val="en-GB"/>
              </w:rPr>
              <m:t>NAD</m:t>
            </m:r>
          </m:e>
          <m:sup>
            <m:r>
              <w:rPr>
                <w:rFonts w:ascii="Cambria Math" w:hAnsi="Cambria Math"/>
                <w:lang w:val="en-GB"/>
              </w:rPr>
              <m:t>+</m:t>
            </m:r>
          </m:sup>
        </m:sSup>
        <m:box>
          <m:boxPr>
            <m:opEmu m:val="1"/>
            <m:ctrlPr>
              <w:rPr>
                <w:rFonts w:ascii="Cambria Math" w:hAnsi="Cambria Math"/>
                <w:i/>
                <w:lang w:val="en-GB"/>
              </w:rPr>
            </m:ctrlPr>
          </m:boxPr>
          <m:e>
            <m:groupChr>
              <m:groupChrPr>
                <m:chr m:val="↔"/>
                <m:vertJc m:val="bot"/>
                <m:ctrlPr>
                  <w:rPr>
                    <w:rFonts w:ascii="Cambria Math" w:hAnsi="Cambria Math"/>
                    <w:i/>
                    <w:lang w:val="en-GB"/>
                  </w:rPr>
                </m:ctrlPr>
              </m:groupChrPr>
              <m:e>
                <m:r>
                  <m:rPr>
                    <m:nor/>
                  </m:rPr>
                  <w:rPr>
                    <w:rFonts w:ascii="Cambria Math" w:hAnsi="Cambria Math"/>
                    <w:lang w:val="en-GB"/>
                  </w:rPr>
                  <m:t>LDH</m:t>
                </m:r>
              </m:e>
            </m:groupChr>
          </m:e>
        </m:box>
        <m:r>
          <w:rPr>
            <w:rFonts w:ascii="Cambria Math" w:hAnsi="Cambria Math"/>
            <w:lang w:val="en-GB"/>
          </w:rPr>
          <m:t>Pyruvate+NADH+</m:t>
        </m:r>
        <m:sSup>
          <m:sSupPr>
            <m:ctrlPr>
              <w:rPr>
                <w:rFonts w:ascii="Cambria Math" w:hAnsi="Cambria Math"/>
                <w:i/>
                <w:lang w:val="en-GB"/>
              </w:rPr>
            </m:ctrlPr>
          </m:sSupPr>
          <m:e>
            <m:r>
              <w:rPr>
                <w:rFonts w:ascii="Cambria Math" w:hAnsi="Cambria Math"/>
                <w:lang w:val="en-GB"/>
              </w:rPr>
              <m:t>H</m:t>
            </m:r>
          </m:e>
          <m:sup>
            <m:r>
              <w:rPr>
                <w:rFonts w:ascii="Cambria Math" w:hAnsi="Cambria Math"/>
                <w:lang w:val="en-GB"/>
              </w:rPr>
              <m:t>+</m:t>
            </m:r>
          </m:sup>
        </m:sSup>
      </m:oMath>
      <w:r w:rsidR="00D56C8C" w:rsidRPr="00E967CF">
        <w:rPr>
          <w:lang w:val="en-GB"/>
        </w:rPr>
        <w:tab/>
      </w:r>
      <w:r w:rsidR="00D56C8C" w:rsidRPr="00E967CF">
        <w:rPr>
          <w:lang w:val="en-GB"/>
        </w:rPr>
        <w:tab/>
        <w:t>(1)</w:t>
      </w:r>
    </w:p>
    <w:p w14:paraId="5FDF0EEC" w14:textId="77777777" w:rsidR="00F3023F" w:rsidRPr="00E967CF" w:rsidRDefault="00F3023F" w:rsidP="00F3023F">
      <w:pPr>
        <w:rPr>
          <w:lang w:val="en-GB"/>
        </w:rPr>
      </w:pPr>
      <w:r w:rsidRPr="00E967CF">
        <w:rPr>
          <w:lang w:val="en-GB"/>
        </w:rPr>
        <w:lastRenderedPageBreak/>
        <w:t>At near-equilibrium, the enzyme maintains the products/reactants ratio (the mass-action ratio) very close to the reaction's thermodynamic equilibrium constant (K</w:t>
      </w:r>
      <w:r w:rsidRPr="00E967CF">
        <w:rPr>
          <w:vertAlign w:val="subscript"/>
          <w:lang w:val="en-GB"/>
        </w:rPr>
        <w:t>eq</w:t>
      </w:r>
      <w:r w:rsidRPr="00E967CF">
        <w:rPr>
          <w:lang w:val="en-GB"/>
        </w:rPr>
        <w:t>). Thus, the relationship is described by the law of mass action:</w:t>
      </w:r>
    </w:p>
    <w:p w14:paraId="7D187404" w14:textId="34A468E4" w:rsidR="00AD511A" w:rsidRPr="00E967CF" w:rsidRDefault="00000000" w:rsidP="00AD511A">
      <w:pPr>
        <w:rPr>
          <w:lang w:val="en-GB"/>
        </w:rPr>
      </w:pPr>
      <m:oMath>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eq</m:t>
            </m:r>
          </m:sub>
        </m:sSub>
        <m:r>
          <w:rPr>
            <w:rFonts w:ascii="Cambria Math" w:hAnsi="Cambria Math"/>
            <w:lang w:val="en-GB"/>
          </w:rPr>
          <m:t>≈</m:t>
        </m:r>
        <m:f>
          <m:fPr>
            <m:ctrlPr>
              <w:rPr>
                <w:rFonts w:ascii="Cambria Math" w:hAnsi="Cambria Math"/>
                <w:i/>
                <w:lang w:val="en-GB"/>
              </w:rPr>
            </m:ctrlPr>
          </m:fPr>
          <m:num>
            <m:d>
              <m:dPr>
                <m:begChr m:val="["/>
                <m:endChr m:val="]"/>
                <m:ctrlPr>
                  <w:rPr>
                    <w:rFonts w:ascii="Cambria Math" w:hAnsi="Cambria Math"/>
                    <w:i/>
                    <w:lang w:val="en-GB"/>
                  </w:rPr>
                </m:ctrlPr>
              </m:dPr>
              <m:e>
                <m:r>
                  <w:rPr>
                    <w:rFonts w:ascii="Cambria Math" w:hAnsi="Cambria Math"/>
                    <w:lang w:val="en-GB"/>
                  </w:rPr>
                  <m:t>Pyruvate</m:t>
                </m:r>
              </m:e>
            </m:d>
            <m:d>
              <m:dPr>
                <m:begChr m:val="["/>
                <m:endChr m:val="]"/>
                <m:ctrlPr>
                  <w:rPr>
                    <w:rFonts w:ascii="Cambria Math" w:hAnsi="Cambria Math"/>
                    <w:i/>
                    <w:lang w:val="en-GB"/>
                  </w:rPr>
                </m:ctrlPr>
              </m:dPr>
              <m:e>
                <m:r>
                  <w:rPr>
                    <w:rFonts w:ascii="Cambria Math" w:hAnsi="Cambria Math"/>
                    <w:lang w:val="en-GB"/>
                  </w:rPr>
                  <m:t>NADH</m:t>
                </m:r>
              </m:e>
            </m:d>
            <m:d>
              <m:dPr>
                <m:begChr m:val="["/>
                <m:endChr m:val="]"/>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H</m:t>
                    </m:r>
                  </m:e>
                  <m:sup>
                    <m:r>
                      <w:rPr>
                        <w:rFonts w:ascii="Cambria Math" w:hAnsi="Cambria Math"/>
                        <w:lang w:val="en-GB"/>
                      </w:rPr>
                      <m:t>+</m:t>
                    </m:r>
                  </m:sup>
                </m:sSup>
              </m:e>
            </m:d>
          </m:num>
          <m:den>
            <m:d>
              <m:dPr>
                <m:begChr m:val="["/>
                <m:endChr m:val="]"/>
                <m:ctrlPr>
                  <w:rPr>
                    <w:rFonts w:ascii="Cambria Math" w:hAnsi="Cambria Math"/>
                    <w:i/>
                    <w:lang w:val="en-GB"/>
                  </w:rPr>
                </m:ctrlPr>
              </m:dPr>
              <m:e>
                <m:r>
                  <w:rPr>
                    <w:rFonts w:ascii="Cambria Math" w:hAnsi="Cambria Math"/>
                    <w:lang w:val="en-GB"/>
                  </w:rPr>
                  <m:t>Lactate</m:t>
                </m:r>
              </m:e>
            </m:d>
            <m:d>
              <m:dPr>
                <m:begChr m:val="["/>
                <m:endChr m:val="]"/>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NAD</m:t>
                    </m:r>
                  </m:e>
                  <m:sup>
                    <m:r>
                      <w:rPr>
                        <w:rFonts w:ascii="Cambria Math" w:hAnsi="Cambria Math"/>
                        <w:lang w:val="en-GB"/>
                      </w:rPr>
                      <m:t>+</m:t>
                    </m:r>
                  </m:sup>
                </m:sSup>
              </m:e>
            </m:d>
          </m:den>
        </m:f>
      </m:oMath>
      <w:r w:rsidR="00AD511A" w:rsidRPr="00E967CF">
        <w:rPr>
          <w:lang w:val="en-GB"/>
        </w:rPr>
        <w:tab/>
      </w:r>
      <w:r w:rsidR="00AD511A" w:rsidRPr="00E967CF">
        <w:rPr>
          <w:lang w:val="en-GB"/>
        </w:rPr>
        <w:tab/>
        <w:t>(</w:t>
      </w:r>
      <w:r w:rsidR="001F7C5D" w:rsidRPr="00E967CF">
        <w:rPr>
          <w:lang w:val="en-GB"/>
        </w:rPr>
        <w:t>2</w:t>
      </w:r>
      <w:r w:rsidR="00AD511A" w:rsidRPr="00E967CF">
        <w:rPr>
          <w:lang w:val="en-GB"/>
        </w:rPr>
        <w:t>)</w:t>
      </w:r>
    </w:p>
    <w:p w14:paraId="4E425037" w14:textId="77777777" w:rsidR="008218CC" w:rsidRPr="00E967CF" w:rsidRDefault="008218CC" w:rsidP="008218CC">
      <w:pPr>
        <w:rPr>
          <w:lang w:val="en-GB"/>
        </w:rPr>
      </w:pPr>
      <w:r w:rsidRPr="00E967CF">
        <w:rPr>
          <w:lang w:val="en-GB"/>
        </w:rPr>
        <w:t>We can rearrange this equation to define the relationship between the CMD-measured metabolites, lactate (L) and pyruvate (P):</w:t>
      </w:r>
    </w:p>
    <w:p w14:paraId="417502A8" w14:textId="1FA101ED" w:rsidR="00C16372" w:rsidRPr="00E967CF" w:rsidRDefault="00C16372" w:rsidP="00C16372">
      <w:pPr>
        <w:rPr>
          <w:lang w:val="en-GB"/>
        </w:rPr>
      </w:pPr>
      <m:oMath>
        <m:r>
          <w:rPr>
            <w:rFonts w:ascii="Cambria Math" w:hAnsi="Cambria Math"/>
            <w:lang w:val="en-GB"/>
          </w:rPr>
          <m:t>L≈</m:t>
        </m:r>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1</m:t>
                </m:r>
              </m:num>
              <m:den>
                <m:sSub>
                  <m:sSubPr>
                    <m:ctrlPr>
                      <w:rPr>
                        <w:rFonts w:ascii="Cambria Math" w:hAnsi="Cambria Math"/>
                        <w:i/>
                        <w:lang w:val="en-GB"/>
                      </w:rPr>
                    </m:ctrlPr>
                  </m:sSubPr>
                  <m:e>
                    <m:r>
                      <w:rPr>
                        <w:rFonts w:ascii="Cambria Math" w:hAnsi="Cambria Math"/>
                        <w:lang w:val="en-GB"/>
                      </w:rPr>
                      <m:t>K</m:t>
                    </m:r>
                  </m:e>
                  <m:sub>
                    <m:r>
                      <w:rPr>
                        <w:rFonts w:ascii="Cambria Math" w:hAnsi="Cambria Math"/>
                        <w:lang w:val="en-GB"/>
                      </w:rPr>
                      <m:t>eq</m:t>
                    </m:r>
                  </m:sub>
                </m:sSub>
              </m:den>
            </m:f>
            <m:r>
              <w:rPr>
                <w:rFonts w:ascii="Cambria Math" w:hAnsi="Cambria Math"/>
                <w:lang w:val="en-GB"/>
              </w:rPr>
              <m:t>×</m:t>
            </m:r>
            <m:d>
              <m:dPr>
                <m:begChr m:val="["/>
                <m:endChr m:val="]"/>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H</m:t>
                    </m:r>
                  </m:e>
                  <m:sup>
                    <m:r>
                      <w:rPr>
                        <w:rFonts w:ascii="Cambria Math" w:hAnsi="Cambria Math"/>
                        <w:lang w:val="en-GB"/>
                      </w:rPr>
                      <m:t>+</m:t>
                    </m:r>
                  </m:sup>
                </m:sSup>
              </m:e>
            </m:d>
            <m:r>
              <w:rPr>
                <w:rFonts w:ascii="Cambria Math" w:hAnsi="Cambria Math"/>
                <w:lang w:val="en-GB"/>
              </w:rPr>
              <m:t>×</m:t>
            </m:r>
            <m:f>
              <m:fPr>
                <m:ctrlPr>
                  <w:rPr>
                    <w:rFonts w:ascii="Cambria Math" w:hAnsi="Cambria Math"/>
                    <w:i/>
                    <w:lang w:val="en-GB"/>
                  </w:rPr>
                </m:ctrlPr>
              </m:fPr>
              <m:num>
                <m:d>
                  <m:dPr>
                    <m:begChr m:val="["/>
                    <m:endChr m:val="]"/>
                    <m:ctrlPr>
                      <w:rPr>
                        <w:rFonts w:ascii="Cambria Math" w:hAnsi="Cambria Math"/>
                        <w:i/>
                        <w:lang w:val="en-GB"/>
                      </w:rPr>
                    </m:ctrlPr>
                  </m:dPr>
                  <m:e>
                    <m:r>
                      <w:rPr>
                        <w:rFonts w:ascii="Cambria Math" w:hAnsi="Cambria Math"/>
                        <w:lang w:val="en-GB"/>
                      </w:rPr>
                      <m:t>NADH</m:t>
                    </m:r>
                  </m:e>
                </m:d>
              </m:num>
              <m:den>
                <m:d>
                  <m:dPr>
                    <m:begChr m:val="["/>
                    <m:endChr m:val="]"/>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NAD</m:t>
                        </m:r>
                      </m:e>
                      <m:sup>
                        <m:r>
                          <w:rPr>
                            <w:rFonts w:ascii="Cambria Math" w:hAnsi="Cambria Math"/>
                            <w:lang w:val="en-GB"/>
                          </w:rPr>
                          <m:t>+</m:t>
                        </m:r>
                      </m:sup>
                    </m:sSup>
                  </m:e>
                </m:d>
              </m:den>
            </m:f>
          </m:e>
        </m:d>
        <m:r>
          <w:rPr>
            <w:rFonts w:ascii="Cambria Math" w:hAnsi="Cambria Math"/>
            <w:lang w:val="en-GB"/>
          </w:rPr>
          <m:t>×P</m:t>
        </m:r>
      </m:oMath>
      <w:r w:rsidRPr="00E967CF">
        <w:rPr>
          <w:lang w:val="en-GB"/>
        </w:rPr>
        <w:tab/>
      </w:r>
      <w:r w:rsidRPr="00E967CF">
        <w:rPr>
          <w:lang w:val="en-GB"/>
        </w:rPr>
        <w:tab/>
        <w:t>(3)</w:t>
      </w:r>
    </w:p>
    <w:p w14:paraId="655B7724" w14:textId="7FA3C118" w:rsidR="000C5DD4" w:rsidRPr="00E967CF" w:rsidRDefault="000C5DD4" w:rsidP="000C5DD4">
      <w:pPr>
        <w:rPr>
          <w:lang w:val="en-GB"/>
        </w:rPr>
      </w:pPr>
      <w:bookmarkStart w:id="19" w:name="_Hlk212546949"/>
      <w:r w:rsidRPr="00E967CF">
        <w:rPr>
          <w:lang w:val="en-GB"/>
        </w:rPr>
        <w:t xml:space="preserve">During a metabolic state in which the </w:t>
      </w:r>
      <w:r w:rsidR="005850BE" w:rsidRPr="00E967CF">
        <w:rPr>
          <w:lang w:val="en-GB"/>
        </w:rPr>
        <w:t>product</w:t>
      </w:r>
      <w:r w:rsidRPr="00E967CF">
        <w:rPr>
          <w:lang w:val="en-GB"/>
        </w:rPr>
        <w:t xml:space="preserve"> </w:t>
      </w:r>
      <w:r w:rsidR="005850BE" w:rsidRPr="00E967CF">
        <w:rPr>
          <w:lang w:val="en-GB"/>
        </w:rPr>
        <w:t>of</w:t>
      </w:r>
      <w:r w:rsidRPr="00E967CF">
        <w:rPr>
          <w:lang w:val="en-GB"/>
        </w:rPr>
        <w:t xml:space="preserve"> the cellular redox state </w:t>
      </w:r>
      <w:bookmarkStart w:id="20" w:name="_Hlk207214884"/>
      <m:oMath>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[NADH]</m:t>
                </m:r>
              </m:num>
              <m:den>
                <m:r>
                  <w:rPr>
                    <w:rFonts w:ascii="Cambria Math" w:hAnsi="Cambria Math"/>
                    <w:lang w:val="en-GB"/>
                  </w:rPr>
                  <m:t>[</m:t>
                </m:r>
                <m:sSup>
                  <m:sSupPr>
                    <m:ctrlPr>
                      <w:rPr>
                        <w:rFonts w:ascii="Cambria Math" w:hAnsi="Cambria Math"/>
                        <w:i/>
                        <w:lang w:val="en-GB"/>
                      </w:rPr>
                    </m:ctrlPr>
                  </m:sSupPr>
                  <m:e>
                    <m:r>
                      <w:rPr>
                        <w:rFonts w:ascii="Cambria Math" w:hAnsi="Cambria Math"/>
                        <w:lang w:val="en-GB"/>
                      </w:rPr>
                      <m:t>NAD</m:t>
                    </m:r>
                  </m:e>
                  <m:sup>
                    <m:r>
                      <w:rPr>
                        <w:rFonts w:ascii="Cambria Math" w:hAnsi="Cambria Math"/>
                        <w:lang w:val="en-GB"/>
                      </w:rPr>
                      <m:t>+</m:t>
                    </m:r>
                  </m:sup>
                </m:sSup>
                <m:r>
                  <w:rPr>
                    <w:rFonts w:ascii="Cambria Math" w:hAnsi="Cambria Math"/>
                    <w:lang w:val="en-GB"/>
                  </w:rPr>
                  <m:t>]</m:t>
                </m:r>
              </m:den>
            </m:f>
          </m:e>
        </m:d>
        <m:r>
          <w:rPr>
            <w:rFonts w:ascii="Cambria Math" w:hAnsi="Cambria Math"/>
            <w:lang w:val="en-GB"/>
          </w:rPr>
          <m:t xml:space="preserve"> </m:t>
        </m:r>
      </m:oMath>
      <w:bookmarkEnd w:id="20"/>
      <w:r w:rsidRPr="00E967CF">
        <w:rPr>
          <w:lang w:val="en-GB"/>
        </w:rPr>
        <w:t xml:space="preserve">and </w:t>
      </w:r>
      <w:r w:rsidR="00D11A73" w:rsidRPr="00E967CF">
        <w:rPr>
          <w:lang w:val="en-GB"/>
        </w:rPr>
        <w:t>proton concentration</w:t>
      </w:r>
      <w:r w:rsidRPr="00E967CF">
        <w:rPr>
          <w:lang w:val="en-GB"/>
        </w:rPr>
        <w:t xml:space="preserve"> ([H+]) is stable, the</w:t>
      </w:r>
      <w:r w:rsidR="00D11A73" w:rsidRPr="00E967CF">
        <w:rPr>
          <w:lang w:val="en-GB"/>
        </w:rPr>
        <w:t xml:space="preserve"> entire</w:t>
      </w:r>
      <w:r w:rsidRPr="00E967CF">
        <w:rPr>
          <w:lang w:val="en-GB"/>
        </w:rPr>
        <w:t xml:space="preserve"> term in parentheses </w:t>
      </w:r>
      <w:r w:rsidR="00D42323" w:rsidRPr="00E967CF">
        <w:rPr>
          <w:lang w:val="en-GB"/>
        </w:rPr>
        <w:t xml:space="preserve">of Equation </w:t>
      </w:r>
      <w:r w:rsidR="00D032A4" w:rsidRPr="00E967CF">
        <w:rPr>
          <w:lang w:val="en-GB"/>
        </w:rPr>
        <w:t>3</w:t>
      </w:r>
      <w:r w:rsidR="00D42323" w:rsidRPr="00E967CF">
        <w:rPr>
          <w:lang w:val="en-GB"/>
        </w:rPr>
        <w:t xml:space="preserve"> </w:t>
      </w:r>
      <w:r w:rsidRPr="00E967CF">
        <w:rPr>
          <w:lang w:val="en-GB"/>
        </w:rPr>
        <w:t xml:space="preserve">can be treated as a constant, the </w:t>
      </w:r>
      <w:r w:rsidR="005979B7" w:rsidRPr="00E967CF">
        <w:rPr>
          <w:lang w:val="en-GB"/>
        </w:rPr>
        <w:t>gradient</w:t>
      </w:r>
      <w:r w:rsidRPr="00E967CF">
        <w:rPr>
          <w:lang w:val="en-GB"/>
        </w:rPr>
        <w:t xml:space="preserve"> </w:t>
      </w:r>
      <w:r w:rsidRPr="00E967CF">
        <w:rPr>
          <w:i/>
          <w:iCs/>
          <w:lang w:val="en-GB"/>
        </w:rPr>
        <w:t>m</w:t>
      </w:r>
      <w:r w:rsidRPr="00E967CF">
        <w:rPr>
          <w:lang w:val="en-GB"/>
        </w:rPr>
        <w:t>:</w:t>
      </w:r>
    </w:p>
    <w:p w14:paraId="329A40BC" w14:textId="4C63CCCA" w:rsidR="00C44A37" w:rsidRPr="00E967CF" w:rsidRDefault="00C44A37" w:rsidP="00C44A37">
      <w:pPr>
        <w:rPr>
          <w:lang w:val="en-GB"/>
        </w:rPr>
      </w:pPr>
      <m:oMath>
        <m:r>
          <w:rPr>
            <w:rFonts w:ascii="Cambria Math" w:hAnsi="Cambria Math"/>
            <w:lang w:val="en-GB"/>
          </w:rPr>
          <m:t>L=mP</m:t>
        </m:r>
      </m:oMath>
      <w:r w:rsidRPr="00E967CF">
        <w:rPr>
          <w:lang w:val="en-GB"/>
        </w:rPr>
        <w:tab/>
      </w:r>
      <w:r w:rsidRPr="00E967CF">
        <w:rPr>
          <w:lang w:val="en-GB"/>
        </w:rPr>
        <w:tab/>
        <w:t>(</w:t>
      </w:r>
      <w:r w:rsidR="003F588E" w:rsidRPr="00E967CF">
        <w:rPr>
          <w:lang w:val="en-GB"/>
        </w:rPr>
        <w:t>4</w:t>
      </w:r>
      <w:r w:rsidRPr="00E967CF">
        <w:rPr>
          <w:lang w:val="en-GB"/>
        </w:rPr>
        <w:t>)</w:t>
      </w:r>
    </w:p>
    <w:p w14:paraId="7F820B59" w14:textId="1CC922DE" w:rsidR="003775A5" w:rsidRPr="00E967CF" w:rsidRDefault="003775A5" w:rsidP="003775A5">
      <w:pPr>
        <w:rPr>
          <w:lang w:val="en-GB"/>
        </w:rPr>
      </w:pPr>
      <w:r w:rsidRPr="00E967CF">
        <w:rPr>
          <w:lang w:val="en-GB"/>
        </w:rPr>
        <w:t xml:space="preserve">Crucially, </w:t>
      </w:r>
      <w:r w:rsidR="00D11A73" w:rsidRPr="00E967CF">
        <w:rPr>
          <w:lang w:val="en-GB"/>
        </w:rPr>
        <w:t xml:space="preserve">this simplification requires only that this product </w:t>
      </w:r>
      <m:oMath>
        <m:d>
          <m:dPr>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[NADH]</m:t>
                </m:r>
              </m:num>
              <m:den>
                <m:r>
                  <w:rPr>
                    <w:rFonts w:ascii="Cambria Math" w:hAnsi="Cambria Math"/>
                    <w:lang w:val="en-GB"/>
                  </w:rPr>
                  <m:t>[</m:t>
                </m:r>
                <m:sSup>
                  <m:sSupPr>
                    <m:ctrlPr>
                      <w:rPr>
                        <w:rFonts w:ascii="Cambria Math" w:hAnsi="Cambria Math"/>
                        <w:i/>
                        <w:lang w:val="en-GB"/>
                      </w:rPr>
                    </m:ctrlPr>
                  </m:sSupPr>
                  <m:e>
                    <m:r>
                      <w:rPr>
                        <w:rFonts w:ascii="Cambria Math" w:hAnsi="Cambria Math"/>
                        <w:lang w:val="en-GB"/>
                      </w:rPr>
                      <m:t>NAD</m:t>
                    </m:r>
                  </m:e>
                  <m:sup>
                    <m:r>
                      <w:rPr>
                        <w:rFonts w:ascii="Cambria Math" w:hAnsi="Cambria Math"/>
                        <w:lang w:val="en-GB"/>
                      </w:rPr>
                      <m:t>+</m:t>
                    </m:r>
                  </m:sup>
                </m:sSup>
                <m:r>
                  <w:rPr>
                    <w:rFonts w:ascii="Cambria Math" w:hAnsi="Cambria Math"/>
                    <w:lang w:val="en-GB"/>
                  </w:rPr>
                  <m:t>]</m:t>
                </m:r>
              </m:den>
            </m:f>
            <m:r>
              <w:rPr>
                <w:rFonts w:ascii="Cambria Math" w:hAnsi="Cambria Math"/>
                <w:lang w:val="en-GB"/>
              </w:rPr>
              <m:t>×[</m:t>
            </m:r>
            <m:sSup>
              <m:sSupPr>
                <m:ctrlPr>
                  <w:rPr>
                    <w:rFonts w:ascii="Cambria Math" w:hAnsi="Cambria Math"/>
                    <w:i/>
                    <w:lang w:val="en-GB"/>
                  </w:rPr>
                </m:ctrlPr>
              </m:sSupPr>
              <m:e>
                <m:r>
                  <w:rPr>
                    <w:rFonts w:ascii="Cambria Math" w:hAnsi="Cambria Math"/>
                    <w:lang w:val="en-GB"/>
                  </w:rPr>
                  <m:t>H</m:t>
                </m:r>
              </m:e>
              <m:sup>
                <m:r>
                  <w:rPr>
                    <w:rFonts w:ascii="Cambria Math" w:hAnsi="Cambria Math"/>
                    <w:lang w:val="en-GB"/>
                  </w:rPr>
                  <m:t>+</m:t>
                </m:r>
              </m:sup>
            </m:sSup>
            <m:r>
              <w:rPr>
                <w:rFonts w:ascii="Cambria Math" w:hAnsi="Cambria Math"/>
                <w:lang w:val="en-GB"/>
              </w:rPr>
              <m:t>]</m:t>
            </m:r>
          </m:e>
        </m:d>
        <m:r>
          <w:rPr>
            <w:rFonts w:ascii="Cambria Math" w:hAnsi="Cambria Math"/>
            <w:lang w:val="en-GB"/>
          </w:rPr>
          <m:t xml:space="preserve"> </m:t>
        </m:r>
      </m:oMath>
      <w:r w:rsidR="00D11A73" w:rsidRPr="00E967CF">
        <w:rPr>
          <w:rFonts w:eastAsiaTheme="minorEastAsia"/>
          <w:lang w:val="en-GB"/>
        </w:rPr>
        <w:t xml:space="preserve"> remains stable, not that the </w:t>
      </w:r>
      <w:r w:rsidRPr="00E967CF">
        <w:rPr>
          <w:lang w:val="en-GB"/>
        </w:rPr>
        <w:t xml:space="preserve">redox state </w:t>
      </w:r>
      <w:r w:rsidR="00D11A73" w:rsidRPr="00E967CF">
        <w:rPr>
          <w:lang w:val="en-GB"/>
        </w:rPr>
        <w:t>or proton concentration are individually constant.</w:t>
      </w:r>
      <w:bookmarkEnd w:id="19"/>
      <w:r w:rsidR="00D11A73" w:rsidRPr="00E967CF">
        <w:rPr>
          <w:lang w:val="en-GB"/>
        </w:rPr>
        <w:t xml:space="preserve"> </w:t>
      </w:r>
      <w:r w:rsidR="005402EA" w:rsidRPr="00E967CF">
        <w:rPr>
          <w:lang w:val="en-GB"/>
        </w:rPr>
        <w:t xml:space="preserve">We refer to Equation 4 as an </w:t>
      </w:r>
      <w:r w:rsidR="008024BB">
        <w:rPr>
          <w:lang w:val="en-GB"/>
        </w:rPr>
        <w:t>idealis</w:t>
      </w:r>
      <w:r w:rsidR="005402EA" w:rsidRPr="00E967CF">
        <w:rPr>
          <w:lang w:val="en-GB"/>
        </w:rPr>
        <w:t>ed near-equilibrium model and instead use an empirical linear model extended with an intercept (</w:t>
      </w:r>
      <w:r w:rsidR="005402EA" w:rsidRPr="00E967CF">
        <w:rPr>
          <w:i/>
          <w:iCs/>
          <w:lang w:val="en-GB"/>
        </w:rPr>
        <w:t>b</w:t>
      </w:r>
      <w:r w:rsidR="005402EA" w:rsidRPr="00E967CF">
        <w:rPr>
          <w:lang w:val="en-GB"/>
        </w:rPr>
        <w:t>) to account for non-</w:t>
      </w:r>
      <w:r w:rsidR="005979B7" w:rsidRPr="00E967CF">
        <w:rPr>
          <w:lang w:val="en-GB"/>
        </w:rPr>
        <w:t>gradient</w:t>
      </w:r>
      <w:r w:rsidR="005402EA" w:rsidRPr="00E967CF">
        <w:rPr>
          <w:lang w:val="en-GB"/>
        </w:rPr>
        <w:t>-dependent metabolic factors, such as those arising from non-LDH-linked substrate sources or sinks:</w:t>
      </w:r>
    </w:p>
    <w:p w14:paraId="628DBADA" w14:textId="1C97CC26" w:rsidR="00DA5A07" w:rsidRPr="00E967CF" w:rsidRDefault="00DA5A07" w:rsidP="00DA5A07">
      <w:pPr>
        <w:rPr>
          <w:lang w:val="en-GB"/>
        </w:rPr>
      </w:pPr>
      <m:oMath>
        <m:r>
          <w:rPr>
            <w:rFonts w:ascii="Cambria Math" w:hAnsi="Cambria Math"/>
            <w:lang w:val="en-GB"/>
          </w:rPr>
          <m:t>L=mP+b</m:t>
        </m:r>
      </m:oMath>
      <w:r w:rsidRPr="00E967CF">
        <w:rPr>
          <w:lang w:val="en-GB"/>
        </w:rPr>
        <w:tab/>
      </w:r>
      <w:r w:rsidRPr="00E967CF">
        <w:rPr>
          <w:lang w:val="en-GB"/>
        </w:rPr>
        <w:tab/>
        <w:t>(</w:t>
      </w:r>
      <w:r w:rsidR="00F23B1C" w:rsidRPr="00E967CF">
        <w:rPr>
          <w:lang w:val="en-GB"/>
        </w:rPr>
        <w:t>5</w:t>
      </w:r>
      <w:r w:rsidRPr="00E967CF">
        <w:rPr>
          <w:lang w:val="en-GB"/>
        </w:rPr>
        <w:t>)</w:t>
      </w:r>
    </w:p>
    <w:p w14:paraId="6165C092" w14:textId="50CE19FF" w:rsidR="00492C5B" w:rsidRPr="00E967CF" w:rsidRDefault="00481037" w:rsidP="00BB1EB4">
      <w:pPr>
        <w:rPr>
          <w:lang w:val="en-GB"/>
        </w:rPr>
      </w:pPr>
      <w:bookmarkStart w:id="21" w:name="_Hlk207555680"/>
      <w:r w:rsidRPr="00E967CF">
        <w:rPr>
          <w:lang w:val="en-GB"/>
        </w:rPr>
        <w:t xml:space="preserve">The intercept term, </w:t>
      </w:r>
      <w:r w:rsidRPr="00E967CF">
        <w:rPr>
          <w:i/>
          <w:iCs/>
          <w:lang w:val="en-GB"/>
        </w:rPr>
        <w:t>b</w:t>
      </w:r>
      <w:r w:rsidRPr="00E967CF">
        <w:rPr>
          <w:lang w:val="en-GB"/>
        </w:rPr>
        <w:t xml:space="preserve">, absorbs non-LDH-linked contributions to lactate and pyruvate, enabling the </w:t>
      </w:r>
      <w:r w:rsidR="005979B7" w:rsidRPr="00E967CF">
        <w:rPr>
          <w:lang w:val="en-GB"/>
        </w:rPr>
        <w:t>gradient</w:t>
      </w:r>
      <w:r w:rsidRPr="00E967CF">
        <w:rPr>
          <w:lang w:val="en-GB"/>
        </w:rPr>
        <w:t xml:space="preserve"> (</w:t>
      </w:r>
      <w:r w:rsidRPr="00E967CF">
        <w:rPr>
          <w:i/>
          <w:iCs/>
          <w:lang w:val="en-GB"/>
        </w:rPr>
        <w:t>m</w:t>
      </w:r>
      <w:r w:rsidRPr="00E967CF">
        <w:rPr>
          <w:lang w:val="en-GB"/>
        </w:rPr>
        <w:t xml:space="preserve">) to isolate the LDH-driven metabolic signal. However, when </w:t>
      </w:r>
      <w:r w:rsidRPr="00E967CF">
        <w:rPr>
          <w:i/>
          <w:iCs/>
          <w:lang w:val="en-GB"/>
        </w:rPr>
        <w:t>b</w:t>
      </w:r>
      <w:r w:rsidRPr="00E967CF">
        <w:rPr>
          <w:lang w:val="en-GB"/>
        </w:rPr>
        <w:t xml:space="preserve"> ≠ 0, dividing Equation 5 by pyruvate reveals a hyperbolic relationship between LPR and pyruvate (</w:t>
      </w:r>
      <w:r w:rsidR="001A22B1" w:rsidRPr="00E967CF">
        <w:rPr>
          <w:lang w:val="en-GB"/>
        </w:rPr>
        <w:t>see Equation 6</w:t>
      </w:r>
      <w:r w:rsidRPr="00E967CF">
        <w:rPr>
          <w:lang w:val="en-GB"/>
        </w:rPr>
        <w:t xml:space="preserve">), in which LPR </w:t>
      </w:r>
      <w:r w:rsidR="00F44458" w:rsidRPr="00E967CF">
        <w:rPr>
          <w:lang w:val="en-GB"/>
        </w:rPr>
        <w:t>is displaced</w:t>
      </w:r>
      <w:r w:rsidRPr="00E967CF">
        <w:rPr>
          <w:lang w:val="en-GB"/>
        </w:rPr>
        <w:t xml:space="preserve"> from the underlying </w:t>
      </w:r>
      <w:r w:rsidR="005979B7" w:rsidRPr="00E967CF">
        <w:rPr>
          <w:lang w:val="en-GB"/>
        </w:rPr>
        <w:t>gradient</w:t>
      </w:r>
      <w:r w:rsidRPr="00E967CF">
        <w:rPr>
          <w:lang w:val="en-GB"/>
        </w:rPr>
        <w:t xml:space="preserve"> and varies with substrate concentration even when the true metabolic signal (</w:t>
      </w:r>
      <w:r w:rsidRPr="00E967CF">
        <w:rPr>
          <w:i/>
          <w:iCs/>
          <w:lang w:val="en-GB"/>
        </w:rPr>
        <w:t>m</w:t>
      </w:r>
      <w:r w:rsidRPr="00E967CF">
        <w:rPr>
          <w:lang w:val="en-GB"/>
        </w:rPr>
        <w:t>) is stable.</w:t>
      </w:r>
    </w:p>
    <w:p w14:paraId="26309BD7" w14:textId="6328FC2F" w:rsidR="00621176" w:rsidRPr="00E967CF" w:rsidRDefault="00621176" w:rsidP="00621176">
      <w:pPr>
        <w:tabs>
          <w:tab w:val="left" w:pos="720"/>
          <w:tab w:val="left" w:pos="1440"/>
          <w:tab w:val="left" w:pos="2160"/>
          <w:tab w:val="left" w:pos="2880"/>
          <w:tab w:val="left" w:pos="6009"/>
        </w:tabs>
        <w:rPr>
          <w:lang w:val="en-GB"/>
        </w:rPr>
      </w:pPr>
      <m:oMath>
        <m:r>
          <w:rPr>
            <w:rFonts w:ascii="Cambria Math" w:hAnsi="Cambria Math"/>
            <w:lang w:val="en-GB"/>
          </w:rPr>
          <m:t>LPR=</m:t>
        </m:r>
        <m:f>
          <m:fPr>
            <m:ctrlPr>
              <w:rPr>
                <w:rFonts w:ascii="Cambria Math" w:hAnsi="Cambria Math"/>
                <w:i/>
                <w:lang w:val="en-GB"/>
              </w:rPr>
            </m:ctrlPr>
          </m:fPr>
          <m:num>
            <m:r>
              <m:rPr>
                <m:nor/>
              </m:rPr>
              <w:rPr>
                <w:rFonts w:ascii="Cambria Math" w:hAnsi="Cambria Math"/>
                <w:i/>
                <w:lang w:val="en-GB"/>
              </w:rPr>
              <m:t>L</m:t>
            </m:r>
          </m:num>
          <m:den>
            <m:r>
              <m:rPr>
                <m:nor/>
              </m:rPr>
              <w:rPr>
                <w:rFonts w:ascii="Cambria Math" w:hAnsi="Cambria Math"/>
                <w:i/>
                <w:lang w:val="en-GB"/>
              </w:rPr>
              <m:t>P</m:t>
            </m:r>
          </m:den>
        </m:f>
        <m:r>
          <w:rPr>
            <w:rFonts w:ascii="Cambria Math" w:hAnsi="Cambria Math"/>
            <w:lang w:val="en-GB"/>
          </w:rPr>
          <m:t>=m+</m:t>
        </m:r>
        <m:f>
          <m:fPr>
            <m:ctrlPr>
              <w:rPr>
                <w:rFonts w:ascii="Cambria Math" w:hAnsi="Cambria Math"/>
                <w:i/>
                <w:lang w:val="en-GB"/>
              </w:rPr>
            </m:ctrlPr>
          </m:fPr>
          <m:num>
            <m:r>
              <w:rPr>
                <w:rFonts w:ascii="Cambria Math" w:hAnsi="Cambria Math"/>
                <w:lang w:val="en-GB"/>
              </w:rPr>
              <m:t>b</m:t>
            </m:r>
          </m:num>
          <m:den>
            <m:r>
              <m:rPr>
                <m:nor/>
              </m:rPr>
              <w:rPr>
                <w:rFonts w:ascii="Cambria Math" w:hAnsi="Cambria Math"/>
                <w:i/>
                <w:lang w:val="en-GB"/>
              </w:rPr>
              <m:t>P</m:t>
            </m:r>
          </m:den>
        </m:f>
      </m:oMath>
      <w:r w:rsidRPr="00E967CF">
        <w:rPr>
          <w:lang w:val="en-GB"/>
        </w:rPr>
        <w:tab/>
      </w:r>
      <w:r w:rsidRPr="00E967CF">
        <w:rPr>
          <w:lang w:val="en-GB"/>
        </w:rPr>
        <w:tab/>
        <w:t>(6)</w:t>
      </w:r>
    </w:p>
    <w:bookmarkEnd w:id="21"/>
    <w:p w14:paraId="59996A09" w14:textId="0F5BB76F" w:rsidR="006D3396" w:rsidRPr="00E967CF" w:rsidRDefault="006D3396" w:rsidP="006C4448">
      <w:pPr>
        <w:rPr>
          <w:lang w:val="en-GB"/>
        </w:rPr>
      </w:pPr>
      <w:r w:rsidRPr="00E967CF">
        <w:rPr>
          <w:b/>
          <w:bCs/>
          <w:lang w:val="en-GB"/>
        </w:rPr>
        <w:t xml:space="preserve">Fig. </w:t>
      </w:r>
      <w:r w:rsidR="00F30E92" w:rsidRPr="00E967CF">
        <w:rPr>
          <w:b/>
          <w:bCs/>
          <w:lang w:val="en-GB"/>
        </w:rPr>
        <w:t>S</w:t>
      </w:r>
      <w:r w:rsidRPr="00E967CF">
        <w:rPr>
          <w:b/>
          <w:bCs/>
          <w:lang w:val="en-GB"/>
        </w:rPr>
        <w:t>1</w:t>
      </w:r>
      <w:r w:rsidRPr="00E967CF">
        <w:rPr>
          <w:lang w:val="en-GB"/>
        </w:rPr>
        <w:t xml:space="preserve"> illustrates this transformation conceptually, demonstrating how the sign and magnitude of </w:t>
      </w:r>
      <w:r w:rsidRPr="00E967CF">
        <w:rPr>
          <w:i/>
          <w:iCs/>
          <w:lang w:val="en-GB"/>
        </w:rPr>
        <w:t>b</w:t>
      </w:r>
      <w:r w:rsidRPr="00E967CF">
        <w:rPr>
          <w:lang w:val="en-GB"/>
        </w:rPr>
        <w:t xml:space="preserve"> determine the direction and degree of curvature of the resulting LPR–pyruvate hyperbola, while </w:t>
      </w:r>
      <w:r w:rsidRPr="00E967CF">
        <w:rPr>
          <w:i/>
          <w:iCs/>
          <w:lang w:val="en-GB"/>
        </w:rPr>
        <w:t>m</w:t>
      </w:r>
      <w:r w:rsidRPr="00E967CF">
        <w:rPr>
          <w:lang w:val="en-GB"/>
        </w:rPr>
        <w:t xml:space="preserve"> sets the horizontal asymptote toward which the LPR converges at high pyruvate concentrations.</w:t>
      </w:r>
    </w:p>
    <w:p w14:paraId="2DDC236F" w14:textId="529A67C2" w:rsidR="00FD7DAB" w:rsidRPr="00E967CF" w:rsidRDefault="00B93B78" w:rsidP="006C4448">
      <w:pPr>
        <w:rPr>
          <w:lang w:val="en-GB"/>
        </w:rPr>
      </w:pPr>
      <w:r w:rsidRPr="00E967CF">
        <w:rPr>
          <w:lang w:val="en-GB"/>
        </w:rPr>
        <w:lastRenderedPageBreak/>
        <w:t>O</w:t>
      </w:r>
      <w:r w:rsidR="00C7481B" w:rsidRPr="00E967CF">
        <w:rPr>
          <w:lang w:val="en-GB"/>
        </w:rPr>
        <w:t>ur framework operates on two assumptions: that the LDH reaction is always operating in a state of near-equilibrium,</w:t>
      </w:r>
      <w:r w:rsidR="00C7481B" w:rsidRPr="00E967CF">
        <w:rPr>
          <w:vertAlign w:val="superscript"/>
          <w:lang w:val="en-GB"/>
        </w:rPr>
        <w:t>15</w:t>
      </w:r>
      <w:r w:rsidR="00C7481B" w:rsidRPr="00E967CF">
        <w:rPr>
          <w:lang w:val="en-GB"/>
        </w:rPr>
        <w:t xml:space="preserve"> and that extracellular CMD measurements serve as a valid proxy for these intracellular dynamics.</w:t>
      </w:r>
      <w:r w:rsidR="00C7481B" w:rsidRPr="00E967CF">
        <w:rPr>
          <w:vertAlign w:val="superscript"/>
          <w:lang w:val="en-GB"/>
        </w:rPr>
        <w:t>16</w:t>
      </w:r>
      <w:r w:rsidR="00C7481B" w:rsidRPr="00E967CF">
        <w:rPr>
          <w:lang w:val="en-GB"/>
        </w:rPr>
        <w:t xml:space="preserve"> </w:t>
      </w:r>
      <w:r w:rsidR="00EB05CF" w:rsidRPr="00E967CF">
        <w:rPr>
          <w:lang w:val="en-GB"/>
        </w:rPr>
        <w:t xml:space="preserve">We use this framework to track the linear </w:t>
      </w:r>
      <w:r w:rsidR="005979B7" w:rsidRPr="00E967CF">
        <w:rPr>
          <w:lang w:val="en-GB"/>
        </w:rPr>
        <w:t>gradient</w:t>
      </w:r>
      <w:r w:rsidR="00EB05CF" w:rsidRPr="00E967CF">
        <w:rPr>
          <w:lang w:val="en-GB"/>
        </w:rPr>
        <w:t xml:space="preserve"> (</w:t>
      </w:r>
      <w:r w:rsidR="00EB05CF" w:rsidRPr="00E967CF">
        <w:rPr>
          <w:i/>
          <w:iCs/>
          <w:lang w:val="en-GB"/>
        </w:rPr>
        <w:t>m</w:t>
      </w:r>
      <w:r w:rsidR="00EB05CF" w:rsidRPr="00E967CF">
        <w:rPr>
          <w:lang w:val="en-GB"/>
        </w:rPr>
        <w:t>)</w:t>
      </w:r>
      <w:r w:rsidR="00D02A84" w:rsidRPr="00E967CF">
        <w:rPr>
          <w:lang w:val="en-GB"/>
        </w:rPr>
        <w:t>,</w:t>
      </w:r>
      <w:r w:rsidR="00EB05CF" w:rsidRPr="00E967CF">
        <w:rPr>
          <w:lang w:val="en-GB"/>
        </w:rPr>
        <w:t xml:space="preserve"> and its changes over time</w:t>
      </w:r>
      <w:r w:rsidR="00D02A84" w:rsidRPr="00E967CF">
        <w:rPr>
          <w:lang w:val="en-GB"/>
        </w:rPr>
        <w:t>,</w:t>
      </w:r>
      <w:r w:rsidR="00EB05CF" w:rsidRPr="00E967CF">
        <w:rPr>
          <w:lang w:val="en-GB"/>
        </w:rPr>
        <w:t xml:space="preserve"> as a direct indicator of anaerobic activity as measured by CMD.</w:t>
      </w:r>
    </w:p>
    <w:p w14:paraId="45F26FB2" w14:textId="5CE13F15" w:rsidR="005E6F13" w:rsidRPr="00E967CF" w:rsidRDefault="005E6F13" w:rsidP="005E6F13">
      <w:pPr>
        <w:pStyle w:val="Heading3"/>
        <w:rPr>
          <w:lang w:val="en-GB"/>
        </w:rPr>
      </w:pPr>
      <w:r w:rsidRPr="00E967CF">
        <w:rPr>
          <w:lang w:val="en-GB"/>
        </w:rPr>
        <w:t>2.3.i</w:t>
      </w:r>
      <w:r w:rsidR="00007E67" w:rsidRPr="00E967CF">
        <w:rPr>
          <w:lang w:val="en-GB"/>
        </w:rPr>
        <w:t>i</w:t>
      </w:r>
      <w:r w:rsidRPr="00E967CF">
        <w:rPr>
          <w:lang w:val="en-GB"/>
        </w:rPr>
        <w:t xml:space="preserve"> </w:t>
      </w:r>
      <w:r w:rsidR="004630A3" w:rsidRPr="00E967CF">
        <w:rPr>
          <w:lang w:val="en-GB"/>
        </w:rPr>
        <w:t>Segmentation pipeline</w:t>
      </w:r>
    </w:p>
    <w:p w14:paraId="6D45BA5E" w14:textId="2014C79D" w:rsidR="008B312A" w:rsidRPr="00E967CF" w:rsidRDefault="00B73673" w:rsidP="00654292">
      <w:pPr>
        <w:rPr>
          <w:lang w:val="en-GB"/>
        </w:rPr>
      </w:pPr>
      <w:r w:rsidRPr="00E967CF">
        <w:rPr>
          <w:lang w:val="en-GB"/>
        </w:rPr>
        <w:t>To identify temporally distinct linear segments within each patient's lactate–pyruvate data (Equation 5), we developed an automated segmentation pipeline. The pipeline employs the Pruned Exact Linear Time (PELT) algorithm</w:t>
      </w:r>
      <w:r w:rsidRPr="00E967CF">
        <w:rPr>
          <w:vertAlign w:val="superscript"/>
          <w:lang w:val="en-GB"/>
        </w:rPr>
        <w:t>17,18</w:t>
      </w:r>
      <w:r w:rsidRPr="00E967CF">
        <w:rPr>
          <w:lang w:val="en-GB"/>
        </w:rPr>
        <w:t xml:space="preserve"> to detect changepoints in the lactate–pyruvate</w:t>
      </w:r>
      <w:r w:rsidR="00F55E58" w:rsidRPr="00E967CF">
        <w:rPr>
          <w:lang w:val="en-GB"/>
        </w:rPr>
        <w:t xml:space="preserve"> linear</w:t>
      </w:r>
      <w:r w:rsidRPr="00E967CF">
        <w:rPr>
          <w:lang w:val="en-GB"/>
        </w:rPr>
        <w:t xml:space="preserve"> regression over time, with a minimum segment length of 6 datapoints. The optimal number of segments was then selected using the Kneedle algorithm</w:t>
      </w:r>
      <w:r w:rsidRPr="00E967CF">
        <w:rPr>
          <w:vertAlign w:val="superscript"/>
          <w:lang w:val="en-GB"/>
        </w:rPr>
        <w:t>19,20</w:t>
      </w:r>
      <w:r w:rsidRPr="00E967CF">
        <w:rPr>
          <w:lang w:val="en-GB"/>
        </w:rPr>
        <w:t xml:space="preserve"> to identify the elbow point on the cost-complexity curve. Ordinary least squares</w:t>
      </w:r>
      <w:r w:rsidR="001A3502" w:rsidRPr="00E967CF">
        <w:rPr>
          <w:lang w:val="en-GB"/>
        </w:rPr>
        <w:t xml:space="preserve"> (OLS)</w:t>
      </w:r>
      <w:r w:rsidRPr="00E967CF">
        <w:rPr>
          <w:lang w:val="en-GB"/>
        </w:rPr>
        <w:t xml:space="preserve"> regression was then fit within each resulting segment to obtain segment-level </w:t>
      </w:r>
      <w:r w:rsidR="005979B7" w:rsidRPr="00E967CF">
        <w:rPr>
          <w:lang w:val="en-GB"/>
        </w:rPr>
        <w:t>gradient</w:t>
      </w:r>
      <w:r w:rsidRPr="00E967CF">
        <w:rPr>
          <w:lang w:val="en-GB"/>
        </w:rPr>
        <w:t xml:space="preserve"> (</w:t>
      </w:r>
      <w:r w:rsidRPr="00E967CF">
        <w:rPr>
          <w:i/>
          <w:iCs/>
          <w:lang w:val="en-GB"/>
        </w:rPr>
        <w:t>m</w:t>
      </w:r>
      <w:r w:rsidRPr="00E967CF">
        <w:rPr>
          <w:lang w:val="en-GB"/>
        </w:rPr>
        <w:t>) and intercept (</w:t>
      </w:r>
      <w:r w:rsidRPr="00E967CF">
        <w:rPr>
          <w:i/>
          <w:iCs/>
          <w:lang w:val="en-GB"/>
        </w:rPr>
        <w:t>b</w:t>
      </w:r>
      <w:r w:rsidRPr="00E967CF">
        <w:rPr>
          <w:lang w:val="en-GB"/>
        </w:rPr>
        <w:t xml:space="preserve">) values. For downstream analyses, we retained only segments with positive </w:t>
      </w:r>
      <w:r w:rsidR="005979B7" w:rsidRPr="00E967CF">
        <w:rPr>
          <w:lang w:val="en-GB"/>
        </w:rPr>
        <w:t>gradient</w:t>
      </w:r>
      <w:r w:rsidRPr="00E967CF">
        <w:rPr>
          <w:lang w:val="en-GB"/>
        </w:rPr>
        <w:t>s (</w:t>
      </w:r>
      <w:r w:rsidRPr="00E967CF">
        <w:rPr>
          <w:i/>
          <w:iCs/>
          <w:lang w:val="en-GB"/>
        </w:rPr>
        <w:t>m</w:t>
      </w:r>
      <w:r w:rsidRPr="00E967CF">
        <w:rPr>
          <w:lang w:val="en-GB"/>
        </w:rPr>
        <w:t xml:space="preserve"> &gt; 0), consistent with the expected directionality of the LDH equilibrium. </w:t>
      </w:r>
      <w:r w:rsidR="00152BC7" w:rsidRPr="00E967CF">
        <w:rPr>
          <w:lang w:val="en-GB"/>
        </w:rPr>
        <w:t>Complete pipeline details and code are provided in the published repository.</w:t>
      </w:r>
    </w:p>
    <w:p w14:paraId="4B9BBAE7" w14:textId="06053F1D" w:rsidR="009C28D3" w:rsidRPr="00E967CF" w:rsidRDefault="009C28D3" w:rsidP="009C28D3">
      <w:pPr>
        <w:pStyle w:val="Heading2"/>
        <w:rPr>
          <w:lang w:val="en-GB"/>
        </w:rPr>
      </w:pPr>
      <w:r w:rsidRPr="00E967CF">
        <w:rPr>
          <w:lang w:val="en-GB"/>
        </w:rPr>
        <w:t>2.</w:t>
      </w:r>
      <w:r w:rsidR="00EC569A" w:rsidRPr="00E967CF">
        <w:rPr>
          <w:lang w:val="en-GB"/>
        </w:rPr>
        <w:t>4</w:t>
      </w:r>
      <w:r w:rsidRPr="00E967CF">
        <w:rPr>
          <w:lang w:val="en-GB"/>
        </w:rPr>
        <w:t xml:space="preserve"> </w:t>
      </w:r>
      <w:r w:rsidR="00597A3C" w:rsidRPr="00E967CF">
        <w:rPr>
          <w:i/>
          <w:iCs/>
          <w:lang w:val="en-GB"/>
        </w:rPr>
        <w:t>In vitro</w:t>
      </w:r>
      <w:r w:rsidR="00597A3C" w:rsidRPr="00E967CF">
        <w:rPr>
          <w:lang w:val="en-GB"/>
        </w:rPr>
        <w:t xml:space="preserve"> model</w:t>
      </w:r>
    </w:p>
    <w:p w14:paraId="36C8ACD8" w14:textId="7C4C24D7" w:rsidR="009C28D3" w:rsidRPr="00E967CF" w:rsidRDefault="00276209" w:rsidP="00654292">
      <w:pPr>
        <w:rPr>
          <w:lang w:val="en-GB"/>
        </w:rPr>
      </w:pPr>
      <w:r w:rsidRPr="00E967CF">
        <w:rPr>
          <w:lang w:val="en-GB"/>
        </w:rPr>
        <w:t xml:space="preserve">To </w:t>
      </w:r>
      <w:r w:rsidR="00656A6B" w:rsidRPr="00E967CF">
        <w:rPr>
          <w:lang w:val="en-GB"/>
        </w:rPr>
        <w:t xml:space="preserve">independently </w:t>
      </w:r>
      <w:r w:rsidRPr="00E967CF">
        <w:rPr>
          <w:lang w:val="en-GB"/>
        </w:rPr>
        <w:t xml:space="preserve">evaluate the association between the </w:t>
      </w:r>
      <w:r w:rsidR="005979B7" w:rsidRPr="00E967CF">
        <w:rPr>
          <w:lang w:val="en-GB"/>
        </w:rPr>
        <w:t>gradient</w:t>
      </w:r>
      <w:r w:rsidRPr="00E967CF">
        <w:rPr>
          <w:lang w:val="en-GB"/>
        </w:rPr>
        <w:t xml:space="preserve"> </w:t>
      </w:r>
      <w:r w:rsidRPr="00E967CF">
        <w:rPr>
          <w:i/>
          <w:iCs/>
          <w:lang w:val="en-GB"/>
        </w:rPr>
        <w:t>(m</w:t>
      </w:r>
      <w:r w:rsidRPr="00E967CF">
        <w:rPr>
          <w:lang w:val="en-GB"/>
        </w:rPr>
        <w:t xml:space="preserve">) and mitochondrial dysfunction, we employed </w:t>
      </w:r>
      <w:r w:rsidR="009B2912" w:rsidRPr="00E967CF">
        <w:rPr>
          <w:lang w:val="en-GB"/>
        </w:rPr>
        <w:t>a reductionist</w:t>
      </w:r>
      <w:r w:rsidRPr="00E967CF">
        <w:rPr>
          <w:lang w:val="en-GB"/>
        </w:rPr>
        <w:t xml:space="preserve"> </w:t>
      </w:r>
      <w:r w:rsidRPr="00E967CF">
        <w:rPr>
          <w:i/>
          <w:iCs/>
          <w:lang w:val="en-GB"/>
        </w:rPr>
        <w:t>in vitro</w:t>
      </w:r>
      <w:r w:rsidRPr="00E967CF">
        <w:rPr>
          <w:lang w:val="en-GB"/>
        </w:rPr>
        <w:t xml:space="preserve"> human induced pluripotent stem cell (hiPSC)-derived neuronal model. Glutamatergic neurons were generated via optimised inducible overexpression (opti-ox) of neurogenin 2 (NGN2) in hiPSCs and maintained at 37°C in a humidified 5% CO₂ atmosphere (full protocol in Supplementary materials SM4). On Day 21 post-induction, neurons underwent a complete media change to a test medium </w:t>
      </w:r>
      <w:r w:rsidR="009811F8" w:rsidRPr="00E967CF">
        <w:rPr>
          <w:lang w:val="en-GB"/>
        </w:rPr>
        <w:t>supplemented with</w:t>
      </w:r>
      <w:r w:rsidRPr="00E967CF">
        <w:rPr>
          <w:lang w:val="en-GB"/>
        </w:rPr>
        <w:t xml:space="preserve"> 5 mM glucose without exogenous lactate, pyruvate, or L-glutamine, </w:t>
      </w:r>
      <w:r w:rsidR="009811F8" w:rsidRPr="00E967CF">
        <w:rPr>
          <w:lang w:val="en-GB"/>
        </w:rPr>
        <w:t>containing</w:t>
      </w:r>
      <w:r w:rsidRPr="00E967CF">
        <w:rPr>
          <w:lang w:val="en-GB"/>
        </w:rPr>
        <w:t xml:space="preserve"> either rotenone (</w:t>
      </w:r>
      <w:r w:rsidR="004B7FAF" w:rsidRPr="00E967CF">
        <w:rPr>
          <w:lang w:val="en-GB"/>
        </w:rPr>
        <w:t>10 nM, ≥ 95%</w:t>
      </w:r>
      <w:r w:rsidR="00E724E5" w:rsidRPr="00E967CF">
        <w:rPr>
          <w:lang w:val="en-GB"/>
        </w:rPr>
        <w:t xml:space="preserve"> purity</w:t>
      </w:r>
      <w:r w:rsidR="004B7FAF" w:rsidRPr="00E967CF">
        <w:rPr>
          <w:lang w:val="en-GB"/>
        </w:rPr>
        <w:t xml:space="preserve">; </w:t>
      </w:r>
      <w:r w:rsidRPr="00E967CF">
        <w:rPr>
          <w:lang w:val="en-GB"/>
        </w:rPr>
        <w:t>Sigma-Aldrich</w:t>
      </w:r>
      <w:r w:rsidR="003C22FD" w:rsidRPr="00E967CF">
        <w:rPr>
          <w:lang w:val="en-GB"/>
        </w:rPr>
        <w:t>, St. Louis, MO, USA</w:t>
      </w:r>
      <w:r w:rsidRPr="00E967CF">
        <w:rPr>
          <w:lang w:val="en-GB"/>
        </w:rPr>
        <w:t>; a complex I inhibitor of the mitochondrial electron transport chain [ETC], dissolved in DMSO) or vehicle control. Samples were collected from parallel wells at timepoints between 1 and 24 hours post-treatment and analysed on ISCUSflex analysers (M Dialysis AB</w:t>
      </w:r>
      <w:r w:rsidR="00E125FC" w:rsidRPr="00E967CF">
        <w:rPr>
          <w:lang w:val="en-GB"/>
        </w:rPr>
        <w:t>, Stockholm, Sweden</w:t>
      </w:r>
      <w:r w:rsidRPr="00E967CF">
        <w:rPr>
          <w:lang w:val="en-GB"/>
        </w:rPr>
        <w:t>)</w:t>
      </w:r>
      <w:r w:rsidR="00617076" w:rsidRPr="00E967CF">
        <w:rPr>
          <w:lang w:val="en-GB"/>
        </w:rPr>
        <w:t>, mirroring our clinical workflow</w:t>
      </w:r>
      <w:r w:rsidR="00C061AA">
        <w:rPr>
          <w:lang w:val="en-GB"/>
        </w:rPr>
        <w:t>.</w:t>
      </w:r>
    </w:p>
    <w:p w14:paraId="5D0D2702" w14:textId="1F6E6641" w:rsidR="00CA2CCB" w:rsidRPr="00E967CF" w:rsidRDefault="00CA2CCB" w:rsidP="00CA2CCB">
      <w:pPr>
        <w:pStyle w:val="Heading2"/>
        <w:rPr>
          <w:lang w:val="en-GB"/>
        </w:rPr>
      </w:pPr>
      <w:bookmarkStart w:id="22" w:name="_Hlk222784531"/>
      <w:r w:rsidRPr="00E967CF">
        <w:rPr>
          <w:lang w:val="en-GB"/>
        </w:rPr>
        <w:lastRenderedPageBreak/>
        <w:t>2.</w:t>
      </w:r>
      <w:r w:rsidR="000B6FC2" w:rsidRPr="00E967CF">
        <w:rPr>
          <w:lang w:val="en-GB"/>
        </w:rPr>
        <w:t>5</w:t>
      </w:r>
      <w:r w:rsidRPr="00E967CF">
        <w:rPr>
          <w:lang w:val="en-GB"/>
        </w:rPr>
        <w:t xml:space="preserve"> </w:t>
      </w:r>
      <w:r w:rsidR="002A05E4" w:rsidRPr="00E967CF">
        <w:rPr>
          <w:lang w:val="en-GB"/>
        </w:rPr>
        <w:t>Statistical analysis</w:t>
      </w:r>
      <w:r w:rsidR="00B903E2" w:rsidRPr="00E967CF">
        <w:rPr>
          <w:lang w:val="en-GB"/>
        </w:rPr>
        <w:t xml:space="preserve"> and code availability</w:t>
      </w:r>
    </w:p>
    <w:p w14:paraId="5D6FC04F" w14:textId="64912531" w:rsidR="00D65A43" w:rsidRPr="00E967CF" w:rsidRDefault="00D65A43" w:rsidP="00205120">
      <w:pPr>
        <w:rPr>
          <w:lang w:val="en-GB"/>
        </w:rPr>
      </w:pPr>
      <w:bookmarkStart w:id="23" w:name="_Hlk222784541"/>
      <w:r w:rsidRPr="00E967CF">
        <w:rPr>
          <w:lang w:val="en-GB"/>
        </w:rPr>
        <w:t>Multiple statistical approaches were used, including OLS regression, Fisher's z-transformed correlation comparisons, model comparison via Akaike Information Criterion</w:t>
      </w:r>
      <w:r w:rsidR="00033466" w:rsidRPr="00E967CF">
        <w:rPr>
          <w:lang w:val="en-GB"/>
        </w:rPr>
        <w:t xml:space="preserve"> (AIC)</w:t>
      </w:r>
      <w:r w:rsidRPr="00E967CF">
        <w:rPr>
          <w:lang w:val="en-GB"/>
        </w:rPr>
        <w:t>, linear mixed-effects (LME) models with nested random effects, nonparametric tests for group comparisons with Benjamini-Hochberg correction for multiple testing, linear contrasts via estimated marginal means</w:t>
      </w:r>
      <w:r w:rsidR="007D418C" w:rsidRPr="00E967CF">
        <w:rPr>
          <w:lang w:val="en-GB"/>
        </w:rPr>
        <w:t xml:space="preserve"> (EMMs)</w:t>
      </w:r>
      <w:r w:rsidR="00207FF3" w:rsidRPr="00E967CF">
        <w:rPr>
          <w:lang w:val="en-GB"/>
        </w:rPr>
        <w:t xml:space="preserve">, and </w:t>
      </w:r>
      <w:r w:rsidR="006B7A0C" w:rsidRPr="00E967CF">
        <w:rPr>
          <w:lang w:val="en-GB"/>
        </w:rPr>
        <w:t xml:space="preserve">analysis of covariance (ANCOVA) </w:t>
      </w:r>
      <w:r w:rsidR="00207FF3" w:rsidRPr="00E967CF">
        <w:rPr>
          <w:lang w:val="en-GB"/>
        </w:rPr>
        <w:t xml:space="preserve">for comparing </w:t>
      </w:r>
      <w:r w:rsidR="00207FF3" w:rsidRPr="00E967CF">
        <w:rPr>
          <w:i/>
          <w:iCs/>
          <w:lang w:val="en-GB"/>
        </w:rPr>
        <w:t>in vitro</w:t>
      </w:r>
      <w:r w:rsidR="00207FF3" w:rsidRPr="00E967CF">
        <w:rPr>
          <w:lang w:val="en-GB"/>
        </w:rPr>
        <w:t xml:space="preserve"> regression lines</w:t>
      </w:r>
      <w:r w:rsidRPr="00E967CF">
        <w:rPr>
          <w:lang w:val="en-GB"/>
        </w:rPr>
        <w:t>.</w:t>
      </w:r>
      <w:r w:rsidR="00FE2225" w:rsidRPr="00E967CF">
        <w:rPr>
          <w:lang w:val="en-GB"/>
        </w:rPr>
        <w:t xml:space="preserve"> EMMs represent the model-estimated typical values within each group, adjusted for the model's random effects and weighting structure.</w:t>
      </w:r>
      <w:r w:rsidRPr="00E967CF">
        <w:rPr>
          <w:lang w:val="en-GB"/>
        </w:rPr>
        <w:t xml:space="preserve"> All analyses were performed using R (v4.5.2; https://www.r-project.org/) and Python (v3.9.6; https://www.python.org/). The complete, annotated source code of this project is publicly available at</w:t>
      </w:r>
      <w:r w:rsidR="00B61C32" w:rsidRPr="00E967CF">
        <w:rPr>
          <w:lang w:val="en-GB"/>
        </w:rPr>
        <w:t xml:space="preserve"> </w:t>
      </w:r>
      <w:bookmarkStart w:id="24" w:name="_Hlk225267635"/>
      <w:r w:rsidR="00B61C32" w:rsidRPr="00E967CF">
        <w:rPr>
          <w:lang w:val="en-GB"/>
        </w:rPr>
        <w:t>https://github.com/msb-jr/linear-LP-gradient</w:t>
      </w:r>
      <w:bookmarkEnd w:id="24"/>
      <w:r w:rsidRPr="00E967CF">
        <w:rPr>
          <w:lang w:val="en-GB"/>
        </w:rPr>
        <w:t>. The relation of each script to each numbered section of the manuscript and Supplementary materials is specified in the repository.</w:t>
      </w:r>
      <w:r w:rsidR="00B77245">
        <w:rPr>
          <w:lang w:val="en-GB"/>
        </w:rPr>
        <w:t xml:space="preserve"> </w:t>
      </w:r>
      <w:r w:rsidR="00B77245" w:rsidRPr="00B77245">
        <w:rPr>
          <w:lang w:val="en-GB"/>
        </w:rPr>
        <w:t>Where directional hypotheses were pre-specified based on theoretical expectation or established literature (e.g., higher LPR associated with worse outcomes), one-sided tests were used; all other tests were two-sided. The directionality of each test is specified in the published code.</w:t>
      </w:r>
      <w:r w:rsidRPr="00E967CF">
        <w:rPr>
          <w:lang w:val="en-GB"/>
        </w:rPr>
        <w:t xml:space="preserve"> For external validation, the Uppsala cohort was analysed using the same published pipeline and scripts; all statistical methods were identical to those applied to the Cambridge cohort.</w:t>
      </w:r>
    </w:p>
    <w:bookmarkEnd w:id="22"/>
    <w:bookmarkEnd w:id="23"/>
    <w:p w14:paraId="5D667DBA" w14:textId="7F1334DE" w:rsidR="007354E5" w:rsidRPr="00E967CF" w:rsidRDefault="00BD1146" w:rsidP="00205120">
      <w:pPr>
        <w:pStyle w:val="Heading1"/>
        <w:rPr>
          <w:lang w:val="en-GB"/>
        </w:rPr>
      </w:pPr>
      <w:r w:rsidRPr="00E967CF">
        <w:rPr>
          <w:lang w:val="en-GB"/>
        </w:rPr>
        <w:t xml:space="preserve">3 </w:t>
      </w:r>
      <w:r w:rsidR="007354E5" w:rsidRPr="00E967CF">
        <w:rPr>
          <w:lang w:val="en-GB"/>
        </w:rPr>
        <w:t>Results</w:t>
      </w:r>
    </w:p>
    <w:p w14:paraId="4138CB38" w14:textId="3E7DDFF1" w:rsidR="006443F0" w:rsidRPr="00E967CF" w:rsidRDefault="006443F0" w:rsidP="006443F0">
      <w:pPr>
        <w:pStyle w:val="Heading2"/>
        <w:rPr>
          <w:lang w:val="en-GB"/>
        </w:rPr>
      </w:pPr>
      <w:r w:rsidRPr="00E967CF">
        <w:rPr>
          <w:lang w:val="en-GB"/>
        </w:rPr>
        <w:t xml:space="preserve">3.1 </w:t>
      </w:r>
      <w:r w:rsidR="00ED397B" w:rsidRPr="00E967CF">
        <w:rPr>
          <w:lang w:val="en-GB"/>
        </w:rPr>
        <w:t>Segmentation pipeline output</w:t>
      </w:r>
    </w:p>
    <w:p w14:paraId="7FF08AD1" w14:textId="5A0BC606" w:rsidR="00154F65" w:rsidRPr="00E967CF" w:rsidRDefault="00154F65" w:rsidP="00154F65">
      <w:pPr>
        <w:rPr>
          <w:lang w:val="en-GB"/>
        </w:rPr>
      </w:pPr>
      <w:r w:rsidRPr="00E967CF">
        <w:rPr>
          <w:lang w:val="en-GB"/>
        </w:rPr>
        <w:t xml:space="preserve">The </w:t>
      </w:r>
      <w:r w:rsidR="009E136A" w:rsidRPr="00E967CF">
        <w:rPr>
          <w:lang w:val="en-GB"/>
        </w:rPr>
        <w:t xml:space="preserve">lactate–pyruvate linear </w:t>
      </w:r>
      <w:r w:rsidRPr="00E967CF">
        <w:rPr>
          <w:lang w:val="en-GB"/>
        </w:rPr>
        <w:t xml:space="preserve">segmentation pipeline was applied to 50,797 datapoints across 510 patients (median 88 datapoints per patient, IQR 56–135, spanning a median of 5.2 days, IQR 3.4–8.0 days). The pipeline identified 1,465 segments in total. After retaining only segments with positive </w:t>
      </w:r>
      <w:r w:rsidR="005979B7" w:rsidRPr="00E967CF">
        <w:rPr>
          <w:lang w:val="en-GB"/>
        </w:rPr>
        <w:t>gradient</w:t>
      </w:r>
      <w:r w:rsidRPr="00E967CF">
        <w:rPr>
          <w:lang w:val="en-GB"/>
        </w:rPr>
        <w:t>s (</w:t>
      </w:r>
      <w:r w:rsidRPr="00E967CF">
        <w:rPr>
          <w:i/>
          <w:iCs/>
          <w:lang w:val="en-GB"/>
        </w:rPr>
        <w:t>m</w:t>
      </w:r>
      <w:r w:rsidRPr="00E967CF">
        <w:rPr>
          <w:lang w:val="en-GB"/>
        </w:rPr>
        <w:t xml:space="preserve"> &gt; 0), 1,339 segments (91.4%) comprising 48,504 datapoints (95.5%) were retained across 506 patients (99.2%).</w:t>
      </w:r>
    </w:p>
    <w:p w14:paraId="5D0AFCD9" w14:textId="24822F56" w:rsidR="00A472DF" w:rsidRPr="00E967CF" w:rsidRDefault="00154F65" w:rsidP="00154F65">
      <w:pPr>
        <w:rPr>
          <w:lang w:val="en-GB"/>
        </w:rPr>
      </w:pPr>
      <w:r w:rsidRPr="00E967CF">
        <w:rPr>
          <w:lang w:val="en-GB"/>
        </w:rPr>
        <w:t xml:space="preserve">Retained segments contained a median of 30 datapoints (IQR 20–42) collected over a median span of 41.4 hours (IQR 28.3–60.4 h). Each retained patient had a median of 2 retained segments (IQR 2–3; range 1–7). </w:t>
      </w:r>
      <w:r w:rsidR="00D5010F" w:rsidRPr="00E967CF">
        <w:rPr>
          <w:lang w:val="en-GB"/>
        </w:rPr>
        <w:t>S</w:t>
      </w:r>
      <w:r w:rsidRPr="00E967CF">
        <w:rPr>
          <w:lang w:val="en-GB"/>
        </w:rPr>
        <w:t xml:space="preserve">egmentation </w:t>
      </w:r>
      <w:r w:rsidR="002B04B1" w:rsidRPr="00E967CF">
        <w:rPr>
          <w:lang w:val="en-GB"/>
        </w:rPr>
        <w:t>details</w:t>
      </w:r>
      <w:r w:rsidRPr="00E967CF">
        <w:rPr>
          <w:lang w:val="en-GB"/>
        </w:rPr>
        <w:t xml:space="preserve"> are reported in </w:t>
      </w:r>
      <w:r w:rsidRPr="00E967CF">
        <w:rPr>
          <w:b/>
          <w:bCs/>
          <w:lang w:val="en-GB"/>
        </w:rPr>
        <w:t xml:space="preserve">Table </w:t>
      </w:r>
      <w:r w:rsidR="00D16AEC">
        <w:rPr>
          <w:b/>
          <w:bCs/>
          <w:lang w:val="en-GB"/>
        </w:rPr>
        <w:t>S</w:t>
      </w:r>
      <w:r w:rsidRPr="00E967CF">
        <w:rPr>
          <w:b/>
          <w:bCs/>
          <w:lang w:val="en-GB"/>
        </w:rPr>
        <w:t>1</w:t>
      </w:r>
      <w:r w:rsidRPr="00E967CF">
        <w:rPr>
          <w:lang w:val="en-GB"/>
        </w:rPr>
        <w:t xml:space="preserve">. </w:t>
      </w:r>
      <w:r w:rsidRPr="00E967CF">
        <w:rPr>
          <w:b/>
          <w:bCs/>
          <w:lang w:val="en-GB"/>
        </w:rPr>
        <w:t>Fig</w:t>
      </w:r>
      <w:r w:rsidR="006D601E" w:rsidRPr="00E967CF">
        <w:rPr>
          <w:b/>
          <w:bCs/>
          <w:lang w:val="en-GB"/>
        </w:rPr>
        <w:t>.</w:t>
      </w:r>
      <w:r w:rsidRPr="00E967CF">
        <w:rPr>
          <w:lang w:val="en-GB"/>
        </w:rPr>
        <w:t xml:space="preserve"> </w:t>
      </w:r>
      <w:r w:rsidR="001A548E" w:rsidRPr="00E967CF">
        <w:rPr>
          <w:b/>
          <w:bCs/>
          <w:lang w:val="en-GB"/>
        </w:rPr>
        <w:t>2</w:t>
      </w:r>
      <w:r w:rsidRPr="00E967CF">
        <w:rPr>
          <w:lang w:val="en-GB"/>
        </w:rPr>
        <w:t xml:space="preserve"> visuali</w:t>
      </w:r>
      <w:r w:rsidR="003964AC">
        <w:rPr>
          <w:lang w:val="en-GB"/>
        </w:rPr>
        <w:t>s</w:t>
      </w:r>
      <w:r w:rsidRPr="00E967CF">
        <w:rPr>
          <w:lang w:val="en-GB"/>
        </w:rPr>
        <w:t>es segmentation results for representative patients.</w:t>
      </w:r>
      <w:r w:rsidR="0005757D" w:rsidRPr="00E967CF">
        <w:rPr>
          <w:lang w:val="en-GB"/>
        </w:rPr>
        <w:t xml:space="preserve"> </w:t>
      </w:r>
      <w:r w:rsidR="0005757D" w:rsidRPr="00E967CF">
        <w:rPr>
          <w:b/>
          <w:bCs/>
          <w:lang w:val="en-GB"/>
        </w:rPr>
        <w:t>Fig. S2</w:t>
      </w:r>
      <w:r w:rsidR="0005757D" w:rsidRPr="00E967CF">
        <w:rPr>
          <w:lang w:val="en-GB"/>
        </w:rPr>
        <w:t xml:space="preserve"> illustrates the complete </w:t>
      </w:r>
      <w:r w:rsidR="0005757D" w:rsidRPr="00E967CF">
        <w:rPr>
          <w:lang w:val="en-GB"/>
        </w:rPr>
        <w:lastRenderedPageBreak/>
        <w:t xml:space="preserve">pipeline process for a patient in whom one segment was discarded due to a non-positive </w:t>
      </w:r>
      <w:r w:rsidR="005979B7" w:rsidRPr="00E967CF">
        <w:rPr>
          <w:lang w:val="en-GB"/>
        </w:rPr>
        <w:t>gradient</w:t>
      </w:r>
      <w:r w:rsidR="0005757D" w:rsidRPr="00E967CF">
        <w:rPr>
          <w:lang w:val="en-GB"/>
        </w:rPr>
        <w:t>.</w:t>
      </w:r>
    </w:p>
    <w:p w14:paraId="4C34EE0C" w14:textId="22D2E92D" w:rsidR="0089730B" w:rsidRPr="00E967CF" w:rsidRDefault="0089730B" w:rsidP="0089730B">
      <w:pPr>
        <w:pStyle w:val="Heading2"/>
        <w:rPr>
          <w:lang w:val="en-GB"/>
        </w:rPr>
      </w:pPr>
      <w:r w:rsidRPr="00E967CF">
        <w:rPr>
          <w:lang w:val="en-GB"/>
        </w:rPr>
        <w:t xml:space="preserve">3.2 </w:t>
      </w:r>
      <w:r w:rsidR="00C6365F" w:rsidRPr="00E967CF">
        <w:rPr>
          <w:lang w:val="en-GB"/>
        </w:rPr>
        <w:t>Validation of the linear framework</w:t>
      </w:r>
    </w:p>
    <w:p w14:paraId="6F120183" w14:textId="559B8738" w:rsidR="00056D25" w:rsidRPr="00E967CF" w:rsidRDefault="00760CBB" w:rsidP="00056D25">
      <w:pPr>
        <w:rPr>
          <w:lang w:val="en-GB"/>
        </w:rPr>
      </w:pPr>
      <w:r w:rsidRPr="00E967CF">
        <w:rPr>
          <w:lang w:val="en-GB"/>
        </w:rPr>
        <w:t xml:space="preserve">We validated two core assumptions of our framework. First, </w:t>
      </w:r>
      <w:r w:rsidR="00760263" w:rsidRPr="00E967CF">
        <w:rPr>
          <w:lang w:val="en-GB"/>
        </w:rPr>
        <w:t>we tested whether fitting multiple linear segments per patient captures the lactate–pyruvate relationship more accurately than fitting a single regression line to each patient's entire monitoring period</w:t>
      </w:r>
      <w:r w:rsidRPr="00E967CF">
        <w:rPr>
          <w:lang w:val="en-GB"/>
        </w:rPr>
        <w:t xml:space="preserve">. A weighted </w:t>
      </w:r>
      <w:r w:rsidR="00AA3409" w:rsidRPr="00E967CF">
        <w:rPr>
          <w:lang w:val="en-GB"/>
        </w:rPr>
        <w:t>LME</w:t>
      </w:r>
      <w:r w:rsidRPr="00E967CF">
        <w:rPr>
          <w:lang w:val="en-GB"/>
        </w:rPr>
        <w:t xml:space="preserve"> model on Fisher's z-transformed Pearson correlations (1,465 segments across 510 patients) confirmed that segment-level correlations (</w:t>
      </w:r>
      <w:r w:rsidR="00ED246A" w:rsidRPr="00E967CF">
        <w:rPr>
          <w:lang w:val="en-GB"/>
        </w:rPr>
        <w:t>EMM</w:t>
      </w:r>
      <w:r w:rsidRPr="00E967CF">
        <w:rPr>
          <w:lang w:val="en-GB"/>
        </w:rPr>
        <w:t xml:space="preserve"> </w:t>
      </w:r>
      <w:r w:rsidRPr="00E967CF">
        <w:rPr>
          <w:i/>
          <w:iCs/>
          <w:lang w:val="en-GB"/>
        </w:rPr>
        <w:t>r</w:t>
      </w:r>
      <w:r w:rsidRPr="00E967CF">
        <w:rPr>
          <w:lang w:val="en-GB"/>
        </w:rPr>
        <w:t xml:space="preserve"> = 0.83, 95% CI: 0.82–0.85) were significantly higher than patient-level correlations (EMM </w:t>
      </w:r>
      <w:r w:rsidRPr="00E967CF">
        <w:rPr>
          <w:i/>
          <w:iCs/>
          <w:lang w:val="en-GB"/>
        </w:rPr>
        <w:t>r</w:t>
      </w:r>
      <w:r w:rsidRPr="00E967CF">
        <w:rPr>
          <w:lang w:val="en-GB"/>
        </w:rPr>
        <w:t xml:space="preserve"> = 0.75, 95% CI: 0.73–0.77; </w:t>
      </w:r>
      <w:r w:rsidRPr="00E967CF">
        <w:rPr>
          <w:i/>
          <w:iCs/>
          <w:lang w:val="en-GB"/>
        </w:rPr>
        <w:t>p</w:t>
      </w:r>
      <w:r w:rsidRPr="00E967CF">
        <w:rPr>
          <w:lang w:val="en-GB"/>
        </w:rPr>
        <w:t xml:space="preserve"> &lt; 0.001</w:t>
      </w:r>
      <w:r w:rsidR="00936DF9" w:rsidRPr="00E967CF">
        <w:rPr>
          <w:lang w:val="en-GB"/>
        </w:rPr>
        <w:t>)</w:t>
      </w:r>
      <w:r w:rsidR="00D555FD" w:rsidRPr="00E967CF">
        <w:rPr>
          <w:lang w:val="en-GB"/>
        </w:rPr>
        <w:t>, indicating that the positive linear lactate–pyruvate relationship is more clearly resolved when patients' data is segmented and justifying the use of changepoint-based segmentation</w:t>
      </w:r>
      <w:r w:rsidR="00936DF9" w:rsidRPr="00E967CF">
        <w:rPr>
          <w:lang w:val="en-GB"/>
        </w:rPr>
        <w:t>.</w:t>
      </w:r>
      <w:r w:rsidR="003375B9" w:rsidRPr="00E967CF">
        <w:rPr>
          <w:lang w:val="en-GB"/>
        </w:rPr>
        <w:t xml:space="preserve"> All subsequent analyses were performed exclusively on retained segments (</w:t>
      </w:r>
      <w:r w:rsidR="003375B9" w:rsidRPr="00E967CF">
        <w:rPr>
          <w:i/>
          <w:iCs/>
          <w:lang w:val="en-GB"/>
        </w:rPr>
        <w:t>m</w:t>
      </w:r>
      <w:r w:rsidR="003375B9" w:rsidRPr="00E967CF">
        <w:rPr>
          <w:lang w:val="en-GB"/>
        </w:rPr>
        <w:t xml:space="preserve"> &gt; 0).</w:t>
      </w:r>
    </w:p>
    <w:p w14:paraId="2E1235AB" w14:textId="141D613D" w:rsidR="00760CBB" w:rsidRPr="00E967CF" w:rsidRDefault="00760CBB" w:rsidP="00056D25">
      <w:pPr>
        <w:rPr>
          <w:lang w:val="en-GB"/>
        </w:rPr>
      </w:pPr>
      <w:r w:rsidRPr="00E967CF">
        <w:rPr>
          <w:lang w:val="en-GB"/>
        </w:rPr>
        <w:t>Second, we tested whether including a non-zero intercept (</w:t>
      </w:r>
      <w:r w:rsidRPr="00E967CF">
        <w:rPr>
          <w:i/>
          <w:iCs/>
          <w:lang w:val="en-GB"/>
        </w:rPr>
        <w:t>b</w:t>
      </w:r>
      <w:r w:rsidRPr="00E967CF">
        <w:rPr>
          <w:lang w:val="en-GB"/>
        </w:rPr>
        <w:t xml:space="preserve">) improves segment-level linear fits compared to an origin-constrained model (L = </w:t>
      </w:r>
      <w:r w:rsidRPr="00E967CF">
        <w:rPr>
          <w:i/>
          <w:iCs/>
          <w:lang w:val="en-GB"/>
        </w:rPr>
        <w:t>m</w:t>
      </w:r>
      <w:r w:rsidRPr="00E967CF">
        <w:rPr>
          <w:lang w:val="en-GB"/>
        </w:rPr>
        <w:t>P</w:t>
      </w:r>
      <w:r w:rsidR="00717609" w:rsidRPr="00E967CF">
        <w:rPr>
          <w:lang w:val="en-GB"/>
        </w:rPr>
        <w:t>, Equation 4</w:t>
      </w:r>
      <w:r w:rsidRPr="00E967CF">
        <w:rPr>
          <w:lang w:val="en-GB"/>
        </w:rPr>
        <w:t xml:space="preserve">). Across 1,339 retained segments from 506 patients, the typical improvement was substantial (ΔAIC = 10.45, 95% CI: 9.46–11.45; </w:t>
      </w:r>
      <w:r w:rsidRPr="00E967CF">
        <w:rPr>
          <w:i/>
          <w:iCs/>
          <w:lang w:val="en-GB"/>
        </w:rPr>
        <w:t>p</w:t>
      </w:r>
      <w:r w:rsidRPr="00E967CF">
        <w:rPr>
          <w:lang w:val="en-GB"/>
        </w:rPr>
        <w:t xml:space="preserve"> &lt; 0.001), with 57.2% of individual segments showing a clear preference for the unconstrained model (ΔAIC &gt; 2). These results empirically confirm that the two-parameter model (L = </w:t>
      </w:r>
      <w:r w:rsidRPr="00E967CF">
        <w:rPr>
          <w:i/>
          <w:iCs/>
          <w:lang w:val="en-GB"/>
        </w:rPr>
        <w:t>m</w:t>
      </w:r>
      <w:r w:rsidRPr="00E967CF">
        <w:rPr>
          <w:lang w:val="en-GB"/>
        </w:rPr>
        <w:t xml:space="preserve">P + </w:t>
      </w:r>
      <w:r w:rsidRPr="00E967CF">
        <w:rPr>
          <w:i/>
          <w:iCs/>
          <w:lang w:val="en-GB"/>
        </w:rPr>
        <w:t>b</w:t>
      </w:r>
      <w:r w:rsidR="00F44E6E" w:rsidRPr="00E967CF">
        <w:rPr>
          <w:lang w:val="en-GB"/>
        </w:rPr>
        <w:t>, Equation 5</w:t>
      </w:r>
      <w:r w:rsidRPr="00E967CF">
        <w:rPr>
          <w:lang w:val="en-GB"/>
        </w:rPr>
        <w:t xml:space="preserve">) better describes the observed lactate–pyruvate data, supporting the inclusion of the intercept to isolate the </w:t>
      </w:r>
      <w:r w:rsidR="005979B7" w:rsidRPr="00E967CF">
        <w:rPr>
          <w:lang w:val="en-GB"/>
        </w:rPr>
        <w:t>gradient</w:t>
      </w:r>
      <w:r w:rsidRPr="00E967CF">
        <w:rPr>
          <w:lang w:val="en-GB"/>
        </w:rPr>
        <w:t xml:space="preserve"> (</w:t>
      </w:r>
      <w:r w:rsidRPr="00E967CF">
        <w:rPr>
          <w:i/>
          <w:iCs/>
          <w:lang w:val="en-GB"/>
        </w:rPr>
        <w:t>m</w:t>
      </w:r>
      <w:r w:rsidRPr="00E967CF">
        <w:rPr>
          <w:lang w:val="en-GB"/>
        </w:rPr>
        <w:t>)</w:t>
      </w:r>
      <w:r w:rsidR="00367675" w:rsidRPr="00E967CF">
        <w:rPr>
          <w:lang w:val="en-GB"/>
        </w:rPr>
        <w:t xml:space="preserve"> as a proxy for anaerobic activity</w:t>
      </w:r>
      <w:r w:rsidRPr="00E967CF">
        <w:rPr>
          <w:lang w:val="en-GB"/>
        </w:rPr>
        <w:t>.</w:t>
      </w:r>
    </w:p>
    <w:p w14:paraId="1FFEF2EB" w14:textId="006F516D" w:rsidR="000731B8" w:rsidRPr="00E967CF" w:rsidRDefault="000731B8" w:rsidP="000731B8">
      <w:pPr>
        <w:pStyle w:val="Heading2"/>
        <w:rPr>
          <w:lang w:val="en-GB"/>
        </w:rPr>
      </w:pPr>
      <w:r w:rsidRPr="00E967CF">
        <w:rPr>
          <w:lang w:val="en-GB"/>
        </w:rPr>
        <w:t xml:space="preserve">3.3 </w:t>
      </w:r>
      <w:r w:rsidR="00D116D6" w:rsidRPr="00E967CF">
        <w:rPr>
          <w:lang w:val="en-GB"/>
        </w:rPr>
        <w:t xml:space="preserve">Linear parameters and </w:t>
      </w:r>
      <w:r w:rsidR="00EA6713" w:rsidRPr="00E967CF">
        <w:rPr>
          <w:lang w:val="en-GB"/>
        </w:rPr>
        <w:t>the hyperbolic consequence</w:t>
      </w:r>
    </w:p>
    <w:p w14:paraId="21146E9D" w14:textId="6B7503C2" w:rsidR="00730F7C" w:rsidRPr="00E967CF" w:rsidRDefault="00730F7C" w:rsidP="003B2E8E">
      <w:pPr>
        <w:pStyle w:val="Heading3"/>
        <w:rPr>
          <w:lang w:val="en-GB"/>
        </w:rPr>
      </w:pPr>
      <w:bookmarkStart w:id="25" w:name="_Hlk211428895"/>
      <w:bookmarkStart w:id="26" w:name="_Hlk221379467"/>
      <w:r w:rsidRPr="00E967CF">
        <w:rPr>
          <w:lang w:val="en-GB"/>
        </w:rPr>
        <w:t xml:space="preserve">3.3.i </w:t>
      </w:r>
      <w:r w:rsidR="00B16DBB" w:rsidRPr="00E967CF">
        <w:rPr>
          <w:lang w:val="en-GB"/>
        </w:rPr>
        <w:t>C</w:t>
      </w:r>
      <w:r w:rsidR="003B2E8E" w:rsidRPr="00E967CF">
        <w:rPr>
          <w:lang w:val="en-GB"/>
        </w:rPr>
        <w:t>haracteri</w:t>
      </w:r>
      <w:r w:rsidR="00A72555">
        <w:rPr>
          <w:lang w:val="en-GB"/>
        </w:rPr>
        <w:t>s</w:t>
      </w:r>
      <w:r w:rsidR="003B2E8E" w:rsidRPr="00E967CF">
        <w:rPr>
          <w:lang w:val="en-GB"/>
        </w:rPr>
        <w:t>ation</w:t>
      </w:r>
      <w:bookmarkEnd w:id="25"/>
    </w:p>
    <w:p w14:paraId="2FC17619" w14:textId="0A92A40E" w:rsidR="00A4362A" w:rsidRPr="00E967CF" w:rsidRDefault="00A4362A" w:rsidP="00A4362A">
      <w:pPr>
        <w:rPr>
          <w:lang w:val="en-GB"/>
        </w:rPr>
      </w:pPr>
      <w:r w:rsidRPr="00E967CF">
        <w:rPr>
          <w:lang w:val="en-GB"/>
        </w:rPr>
        <w:t xml:space="preserve">Across the </w:t>
      </w:r>
      <w:r w:rsidR="008148B8" w:rsidRPr="00E967CF">
        <w:rPr>
          <w:lang w:val="en-GB"/>
        </w:rPr>
        <w:t xml:space="preserve">1,339 retained segments of </w:t>
      </w:r>
      <w:r w:rsidRPr="00E967CF">
        <w:rPr>
          <w:lang w:val="en-GB"/>
        </w:rPr>
        <w:t>506 patients</w:t>
      </w:r>
      <w:r w:rsidR="005E6925" w:rsidRPr="00E967CF">
        <w:rPr>
          <w:lang w:val="en-GB"/>
        </w:rPr>
        <w:t xml:space="preserve"> (</w:t>
      </w:r>
      <w:r w:rsidR="005E6925" w:rsidRPr="00E967CF">
        <w:rPr>
          <w:b/>
          <w:bCs/>
          <w:lang w:val="en-GB"/>
        </w:rPr>
        <w:t>Fig. 3A</w:t>
      </w:r>
      <w:r w:rsidR="001E65F1" w:rsidRPr="00E967CF">
        <w:rPr>
          <w:lang w:val="en-GB"/>
        </w:rPr>
        <w:t>–</w:t>
      </w:r>
      <w:r w:rsidR="005E6925" w:rsidRPr="00E967CF">
        <w:rPr>
          <w:b/>
          <w:bCs/>
          <w:lang w:val="en-GB"/>
        </w:rPr>
        <w:t>B</w:t>
      </w:r>
      <w:r w:rsidR="005E6925" w:rsidRPr="00E967CF">
        <w:rPr>
          <w:lang w:val="en-GB"/>
        </w:rPr>
        <w:t>)</w:t>
      </w:r>
      <w:r w:rsidRPr="00E967CF">
        <w:rPr>
          <w:lang w:val="en-GB"/>
        </w:rPr>
        <w:t xml:space="preserve">, the cohort median </w:t>
      </w:r>
      <w:r w:rsidR="005979B7" w:rsidRPr="00E967CF">
        <w:rPr>
          <w:lang w:val="en-GB"/>
        </w:rPr>
        <w:t>gradient</w:t>
      </w:r>
      <w:r w:rsidRPr="00E967CF">
        <w:rPr>
          <w:lang w:val="en-GB"/>
        </w:rPr>
        <w:t xml:space="preserve"> (</w:t>
      </w:r>
      <w:r w:rsidRPr="00E967CF">
        <w:rPr>
          <w:i/>
          <w:iCs/>
          <w:lang w:val="en-GB"/>
        </w:rPr>
        <w:t>m</w:t>
      </w:r>
      <w:r w:rsidRPr="00E967CF">
        <w:rPr>
          <w:lang w:val="en-GB"/>
        </w:rPr>
        <w:t>) was 19.83 (IQR: 15.48–25.10) and the median intercept (</w:t>
      </w:r>
      <w:r w:rsidRPr="00E967CF">
        <w:rPr>
          <w:i/>
          <w:iCs/>
          <w:lang w:val="en-GB"/>
        </w:rPr>
        <w:t>b</w:t>
      </w:r>
      <w:r w:rsidRPr="00E967CF">
        <w:rPr>
          <w:lang w:val="en-GB"/>
        </w:rPr>
        <w:t xml:space="preserve">) was 0.54 mM (IQR: 0.13–1.12 mM), with a median within-segment R² of 0.69 (IQR: 0.54–0.80). Among the 466 patients with two or more retained segments, within-patient variation was substantial: the median intra-patient range of </w:t>
      </w:r>
      <w:r w:rsidRPr="00E967CF">
        <w:rPr>
          <w:i/>
          <w:iCs/>
          <w:lang w:val="en-GB"/>
        </w:rPr>
        <w:t>m</w:t>
      </w:r>
      <w:r w:rsidRPr="00E967CF">
        <w:rPr>
          <w:lang w:val="en-GB"/>
        </w:rPr>
        <w:t xml:space="preserve"> was 12.28 (IQR: 6.33–21.20) and for </w:t>
      </w:r>
      <w:r w:rsidRPr="00E967CF">
        <w:rPr>
          <w:i/>
          <w:iCs/>
          <w:lang w:val="en-GB"/>
        </w:rPr>
        <w:t>b</w:t>
      </w:r>
      <w:r w:rsidRPr="00E967CF">
        <w:rPr>
          <w:lang w:val="en-GB"/>
        </w:rPr>
        <w:t xml:space="preserve"> was 1.69 mM (IQR: 0.77–3.00 mM).</w:t>
      </w:r>
    </w:p>
    <w:p w14:paraId="76B55B73" w14:textId="1DD069C0" w:rsidR="00FD7DAB" w:rsidRPr="00E967CF" w:rsidRDefault="00960552" w:rsidP="00A4362A">
      <w:pPr>
        <w:rPr>
          <w:lang w:val="en-GB"/>
        </w:rPr>
      </w:pPr>
      <w:r w:rsidRPr="00E967CF">
        <w:rPr>
          <w:lang w:val="en-GB"/>
        </w:rPr>
        <w:lastRenderedPageBreak/>
        <w:t>Stratification by the sign of the intercept revealed two distinct patterns (</w:t>
      </w:r>
      <w:r w:rsidRPr="00E967CF">
        <w:rPr>
          <w:b/>
          <w:bCs/>
          <w:lang w:val="en-GB"/>
        </w:rPr>
        <w:t xml:space="preserve">Fig. </w:t>
      </w:r>
      <w:r w:rsidR="001A548E" w:rsidRPr="00E967CF">
        <w:rPr>
          <w:b/>
          <w:bCs/>
          <w:lang w:val="en-GB"/>
        </w:rPr>
        <w:t>3</w:t>
      </w:r>
      <w:r w:rsidR="00600BEF" w:rsidRPr="00E967CF">
        <w:rPr>
          <w:b/>
          <w:bCs/>
          <w:lang w:val="en-GB"/>
        </w:rPr>
        <w:t>C</w:t>
      </w:r>
      <w:r w:rsidR="00600BEF" w:rsidRPr="00E967CF">
        <w:rPr>
          <w:lang w:val="en-GB"/>
        </w:rPr>
        <w:t>–</w:t>
      </w:r>
      <w:r w:rsidR="00600BEF" w:rsidRPr="00E967CF">
        <w:rPr>
          <w:b/>
          <w:bCs/>
          <w:lang w:val="en-GB"/>
        </w:rPr>
        <w:t>H</w:t>
      </w:r>
      <w:r w:rsidRPr="00E967CF">
        <w:rPr>
          <w:lang w:val="en-GB"/>
        </w:rPr>
        <w:t>). Segments with a positive intercept (Type P</w:t>
      </w:r>
      <w:r w:rsidRPr="00E967CF">
        <w:rPr>
          <w:i/>
          <w:iCs/>
          <w:vertAlign w:val="subscript"/>
          <w:lang w:val="en-GB"/>
        </w:rPr>
        <w:t>b</w:t>
      </w:r>
      <w:r w:rsidRPr="00E967CF">
        <w:rPr>
          <w:lang w:val="en-GB"/>
        </w:rPr>
        <w:t>; 967</w:t>
      </w:r>
      <w:r w:rsidR="0005663B" w:rsidRPr="00E967CF">
        <w:rPr>
          <w:lang w:val="en-GB"/>
        </w:rPr>
        <w:t xml:space="preserve"> [72.2%]</w:t>
      </w:r>
      <w:r w:rsidRPr="00E967CF">
        <w:rPr>
          <w:lang w:val="en-GB"/>
        </w:rPr>
        <w:t xml:space="preserve"> segments, 476 patients; median </w:t>
      </w:r>
      <w:r w:rsidRPr="00E967CF">
        <w:rPr>
          <w:i/>
          <w:iCs/>
          <w:lang w:val="en-GB"/>
        </w:rPr>
        <w:t>b</w:t>
      </w:r>
      <w:r w:rsidRPr="00E967CF">
        <w:rPr>
          <w:lang w:val="en-GB"/>
        </w:rPr>
        <w:t xml:space="preserve"> = 0.87 mM</w:t>
      </w:r>
      <w:r w:rsidR="00B304F9" w:rsidRPr="00E967CF">
        <w:rPr>
          <w:lang w:val="en-GB"/>
        </w:rPr>
        <w:t xml:space="preserve">; </w:t>
      </w:r>
      <w:r w:rsidR="00B304F9" w:rsidRPr="00E967CF">
        <w:rPr>
          <w:b/>
          <w:bCs/>
          <w:lang w:val="en-GB"/>
        </w:rPr>
        <w:t>Fig. 3C</w:t>
      </w:r>
      <w:r w:rsidR="00B304F9" w:rsidRPr="00E967CF">
        <w:rPr>
          <w:lang w:val="en-GB"/>
        </w:rPr>
        <w:t>–</w:t>
      </w:r>
      <w:r w:rsidR="00B304F9" w:rsidRPr="00E967CF">
        <w:rPr>
          <w:b/>
          <w:bCs/>
          <w:lang w:val="en-GB"/>
        </w:rPr>
        <w:t>D</w:t>
      </w:r>
      <w:r w:rsidRPr="00E967CF">
        <w:rPr>
          <w:lang w:val="en-GB"/>
        </w:rPr>
        <w:t xml:space="preserve">) had lower </w:t>
      </w:r>
      <w:r w:rsidR="005979B7" w:rsidRPr="00E967CF">
        <w:rPr>
          <w:lang w:val="en-GB"/>
        </w:rPr>
        <w:t>gradient</w:t>
      </w:r>
      <w:r w:rsidRPr="00E967CF">
        <w:rPr>
          <w:lang w:val="en-GB"/>
        </w:rPr>
        <w:t xml:space="preserve">s (median </w:t>
      </w:r>
      <w:r w:rsidRPr="00E967CF">
        <w:rPr>
          <w:i/>
          <w:iCs/>
          <w:lang w:val="en-GB"/>
        </w:rPr>
        <w:t>m</w:t>
      </w:r>
      <w:r w:rsidRPr="00E967CF">
        <w:rPr>
          <w:lang w:val="en-GB"/>
        </w:rPr>
        <w:t xml:space="preserve"> = 17.97, IQR: 13.33–22.03) and moderate linear fits (median R² = 0.63, IQR: 0.48–0.77), producing decreasing LPR hyperbolae as pyruvate increased</w:t>
      </w:r>
      <w:r w:rsidR="004A667C" w:rsidRPr="00E967CF">
        <w:rPr>
          <w:lang w:val="en-GB"/>
        </w:rPr>
        <w:t xml:space="preserve"> (</w:t>
      </w:r>
      <w:r w:rsidR="004A667C" w:rsidRPr="00E967CF">
        <w:rPr>
          <w:b/>
          <w:bCs/>
          <w:lang w:val="en-GB"/>
        </w:rPr>
        <w:t>Fig. 3D</w:t>
      </w:r>
      <w:r w:rsidR="004A667C" w:rsidRPr="00E967CF">
        <w:rPr>
          <w:lang w:val="en-GB"/>
        </w:rPr>
        <w:t>)</w:t>
      </w:r>
      <w:r w:rsidRPr="00E967CF">
        <w:rPr>
          <w:lang w:val="en-GB"/>
        </w:rPr>
        <w:t>. Segments with a negative intercept (Type N</w:t>
      </w:r>
      <w:r w:rsidRPr="00E967CF">
        <w:rPr>
          <w:i/>
          <w:iCs/>
          <w:vertAlign w:val="subscript"/>
          <w:lang w:val="en-GB"/>
        </w:rPr>
        <w:t>b</w:t>
      </w:r>
      <w:r w:rsidRPr="00E967CF">
        <w:rPr>
          <w:lang w:val="en-GB"/>
        </w:rPr>
        <w:t>; 372</w:t>
      </w:r>
      <w:r w:rsidR="009A5F92" w:rsidRPr="00E967CF">
        <w:rPr>
          <w:lang w:val="en-GB"/>
        </w:rPr>
        <w:t xml:space="preserve"> [27.8%]</w:t>
      </w:r>
      <w:r w:rsidRPr="00E967CF">
        <w:rPr>
          <w:lang w:val="en-GB"/>
        </w:rPr>
        <w:t xml:space="preserve"> segments, 276 patients; median </w:t>
      </w:r>
      <w:r w:rsidRPr="00E967CF">
        <w:rPr>
          <w:i/>
          <w:iCs/>
          <w:lang w:val="en-GB"/>
        </w:rPr>
        <w:t>b</w:t>
      </w:r>
      <w:r w:rsidRPr="00E967CF">
        <w:rPr>
          <w:lang w:val="en-GB"/>
        </w:rPr>
        <w:t xml:space="preserve"> = -0.55 mM</w:t>
      </w:r>
      <w:r w:rsidR="00723264" w:rsidRPr="00E967CF">
        <w:rPr>
          <w:lang w:val="en-GB"/>
        </w:rPr>
        <w:t xml:space="preserve">; </w:t>
      </w:r>
      <w:r w:rsidR="00723264" w:rsidRPr="00E967CF">
        <w:rPr>
          <w:b/>
          <w:bCs/>
          <w:lang w:val="en-GB"/>
        </w:rPr>
        <w:t>Fig. 3E–F</w:t>
      </w:r>
      <w:r w:rsidRPr="00E967CF">
        <w:rPr>
          <w:lang w:val="en-GB"/>
        </w:rPr>
        <w:t xml:space="preserve">) had markedly higher </w:t>
      </w:r>
      <w:r w:rsidR="005979B7" w:rsidRPr="00E967CF">
        <w:rPr>
          <w:lang w:val="en-GB"/>
        </w:rPr>
        <w:t>gradient</w:t>
      </w:r>
      <w:r w:rsidRPr="00E967CF">
        <w:rPr>
          <w:lang w:val="en-GB"/>
        </w:rPr>
        <w:t xml:space="preserve">s (median </w:t>
      </w:r>
      <w:r w:rsidRPr="00E967CF">
        <w:rPr>
          <w:i/>
          <w:iCs/>
          <w:lang w:val="en-GB"/>
        </w:rPr>
        <w:t>m</w:t>
      </w:r>
      <w:r w:rsidRPr="00E967CF">
        <w:rPr>
          <w:lang w:val="en-GB"/>
        </w:rPr>
        <w:t xml:space="preserve"> = 29.04, IQR: 23.83–35.72) and stronger linear fits (median R² = 0.85, IQR: 0.74–0.91), producing increasing LPR hyperbolae toward the asymptote </w:t>
      </w:r>
      <w:r w:rsidRPr="00E967CF">
        <w:rPr>
          <w:i/>
          <w:iCs/>
          <w:lang w:val="en-GB"/>
        </w:rPr>
        <w:t>m</w:t>
      </w:r>
      <w:r w:rsidR="00EC4C3F" w:rsidRPr="00E967CF">
        <w:rPr>
          <w:lang w:val="en-GB"/>
        </w:rPr>
        <w:t xml:space="preserve"> (</w:t>
      </w:r>
      <w:r w:rsidR="00EC4C3F" w:rsidRPr="00E967CF">
        <w:rPr>
          <w:b/>
          <w:bCs/>
          <w:lang w:val="en-GB"/>
        </w:rPr>
        <w:t>Fig. 3F</w:t>
      </w:r>
      <w:r w:rsidR="00EC4C3F" w:rsidRPr="00E967CF">
        <w:rPr>
          <w:lang w:val="en-GB"/>
        </w:rPr>
        <w:t>)</w:t>
      </w:r>
      <w:r w:rsidRPr="00E967CF">
        <w:rPr>
          <w:lang w:val="en-GB"/>
        </w:rPr>
        <w:t xml:space="preserve">. These empirical patterns mirror the conceptual framework illustrated in </w:t>
      </w:r>
      <w:r w:rsidRPr="00E967CF">
        <w:rPr>
          <w:b/>
          <w:bCs/>
          <w:lang w:val="en-GB"/>
        </w:rPr>
        <w:t xml:space="preserve">Fig. </w:t>
      </w:r>
      <w:r w:rsidR="00F30E92" w:rsidRPr="00E967CF">
        <w:rPr>
          <w:b/>
          <w:bCs/>
          <w:lang w:val="en-GB"/>
        </w:rPr>
        <w:t>S</w:t>
      </w:r>
      <w:r w:rsidRPr="00E967CF">
        <w:rPr>
          <w:b/>
          <w:bCs/>
          <w:lang w:val="en-GB"/>
        </w:rPr>
        <w:t>1</w:t>
      </w:r>
      <w:r w:rsidRPr="00E967CF">
        <w:rPr>
          <w:lang w:val="en-GB"/>
        </w:rPr>
        <w:t>.</w:t>
      </w:r>
    </w:p>
    <w:p w14:paraId="319DFF57" w14:textId="6B8856F6" w:rsidR="003B2E8E" w:rsidRPr="00E967CF" w:rsidRDefault="003B2E8E" w:rsidP="003B2E8E">
      <w:pPr>
        <w:pStyle w:val="Heading3"/>
        <w:rPr>
          <w:lang w:val="en-GB"/>
        </w:rPr>
      </w:pPr>
      <w:r w:rsidRPr="00E967CF">
        <w:rPr>
          <w:lang w:val="en-GB"/>
        </w:rPr>
        <w:t xml:space="preserve">3.3.ii </w:t>
      </w:r>
      <w:r w:rsidR="00A036DC" w:rsidRPr="00E967CF">
        <w:rPr>
          <w:lang w:val="en-GB"/>
        </w:rPr>
        <w:t>Within-segment LPR error</w:t>
      </w:r>
    </w:p>
    <w:p w14:paraId="3090FFD2" w14:textId="6E99FCBF" w:rsidR="003B2E8E" w:rsidRPr="00E967CF" w:rsidRDefault="00EC3947" w:rsidP="00F062CC">
      <w:pPr>
        <w:rPr>
          <w:lang w:val="en-GB"/>
        </w:rPr>
      </w:pPr>
      <w:r w:rsidRPr="00E967CF">
        <w:rPr>
          <w:lang w:val="en-GB"/>
        </w:rPr>
        <w:t xml:space="preserve">The presence of a non-zero intercept causes the LPR to deviate from the underlying </w:t>
      </w:r>
      <w:r w:rsidR="005979B7" w:rsidRPr="00E967CF">
        <w:rPr>
          <w:lang w:val="en-GB"/>
        </w:rPr>
        <w:t>gradient</w:t>
      </w:r>
      <w:r w:rsidRPr="00E967CF">
        <w:rPr>
          <w:lang w:val="en-GB"/>
        </w:rPr>
        <w:t xml:space="preserve"> (</w:t>
      </w:r>
      <w:r w:rsidRPr="00E967CF">
        <w:rPr>
          <w:i/>
          <w:iCs/>
          <w:lang w:val="en-GB"/>
        </w:rPr>
        <w:t>m</w:t>
      </w:r>
      <w:r w:rsidRPr="00E967CF">
        <w:rPr>
          <w:lang w:val="en-GB"/>
        </w:rPr>
        <w:t>) in a substrate-dependent manner (</w:t>
      </w:r>
      <w:r w:rsidRPr="00E967CF">
        <w:rPr>
          <w:b/>
          <w:bCs/>
          <w:lang w:val="en-GB"/>
        </w:rPr>
        <w:t xml:space="preserve">Table </w:t>
      </w:r>
      <w:r w:rsidR="00291869" w:rsidRPr="00E967CF">
        <w:rPr>
          <w:b/>
          <w:bCs/>
          <w:lang w:val="en-GB"/>
        </w:rPr>
        <w:t>S</w:t>
      </w:r>
      <w:r w:rsidR="00D16AEC">
        <w:rPr>
          <w:b/>
          <w:bCs/>
          <w:lang w:val="en-GB"/>
        </w:rPr>
        <w:t>2</w:t>
      </w:r>
      <w:r w:rsidRPr="00E967CF">
        <w:rPr>
          <w:lang w:val="en-GB"/>
        </w:rPr>
        <w:t xml:space="preserve">). This deviation is most pronounced at low pyruvate concentrations: at the segment-minimum pyruvate (median 64 µM, IQR: 41–89 µM), the </w:t>
      </w:r>
      <w:r w:rsidR="00EF4972" w:rsidRPr="00E967CF">
        <w:rPr>
          <w:lang w:val="en-GB"/>
        </w:rPr>
        <w:t xml:space="preserve">overall </w:t>
      </w:r>
      <w:r w:rsidRPr="00E967CF">
        <w:rPr>
          <w:lang w:val="en-GB"/>
        </w:rPr>
        <w:t>median relative LPR error was 66.8% (IQR: 20.2%–190.6%). In Type P</w:t>
      </w:r>
      <w:r w:rsidRPr="00E967CF">
        <w:rPr>
          <w:i/>
          <w:iCs/>
          <w:vertAlign w:val="subscript"/>
          <w:lang w:val="en-GB"/>
        </w:rPr>
        <w:t>b</w:t>
      </w:r>
      <w:r w:rsidRPr="00E967CF">
        <w:rPr>
          <w:lang w:val="en-GB"/>
        </w:rPr>
        <w:t xml:space="preserve"> segments, the LPR exceeded the underlying </w:t>
      </w:r>
      <w:r w:rsidR="005979B7" w:rsidRPr="00E967CF">
        <w:rPr>
          <w:lang w:val="en-GB"/>
        </w:rPr>
        <w:t>gradient</w:t>
      </w:r>
      <w:r w:rsidRPr="00E967CF">
        <w:rPr>
          <w:lang w:val="en-GB"/>
        </w:rPr>
        <w:t xml:space="preserve"> by a median of 103.4% (IQR: 39.1%–254.7%) at minimum pyruvate, while in Type N</w:t>
      </w:r>
      <w:r w:rsidRPr="00E967CF">
        <w:rPr>
          <w:i/>
          <w:iCs/>
          <w:vertAlign w:val="subscript"/>
          <w:lang w:val="en-GB"/>
        </w:rPr>
        <w:t>b</w:t>
      </w:r>
      <w:r w:rsidRPr="00E967CF">
        <w:rPr>
          <w:lang w:val="en-GB"/>
        </w:rPr>
        <w:t xml:space="preserve"> segments, the LPR underestimated the </w:t>
      </w:r>
      <w:r w:rsidR="005979B7" w:rsidRPr="00E967CF">
        <w:rPr>
          <w:lang w:val="en-GB"/>
        </w:rPr>
        <w:t>gradient</w:t>
      </w:r>
      <w:r w:rsidRPr="00E967CF">
        <w:rPr>
          <w:lang w:val="en-GB"/>
        </w:rPr>
        <w:t xml:space="preserve"> by a median of -19.9% (IQR: -38.0% to -8.6%). Even at higher substrate levels (segment-maximum pyruvate, median 172 µM, IQR: 139–225 µM), the median LPR error remained 23.3% (IQR: 7.1%–55.6%). </w:t>
      </w:r>
      <w:r w:rsidR="00992A90" w:rsidRPr="00E967CF">
        <w:rPr>
          <w:lang w:val="en-GB"/>
        </w:rPr>
        <w:t xml:space="preserve">Furthermore, LPR varied substantially within segments despite a stable underlying </w:t>
      </w:r>
      <w:r w:rsidR="005979B7" w:rsidRPr="00E967CF">
        <w:rPr>
          <w:lang w:val="en-GB"/>
        </w:rPr>
        <w:t>gradient</w:t>
      </w:r>
      <w:r w:rsidR="00992A90" w:rsidRPr="00E967CF">
        <w:rPr>
          <w:lang w:val="en-GB"/>
        </w:rPr>
        <w:t xml:space="preserve">: the median within-segment LPR range was 14.4 (IQR: 9.2–27.6), driven entirely by substrate-dependent fluctuations along the hyperbolic curve. </w:t>
      </w:r>
      <w:r w:rsidRPr="00E967CF">
        <w:rPr>
          <w:lang w:val="en-GB"/>
        </w:rPr>
        <w:t>These findings demonstrate that the LPR systematically fails to track the underlying level of anaerobic activity (</w:t>
      </w:r>
      <w:r w:rsidRPr="00E967CF">
        <w:rPr>
          <w:i/>
          <w:iCs/>
          <w:lang w:val="en-GB"/>
        </w:rPr>
        <w:t>m</w:t>
      </w:r>
      <w:r w:rsidRPr="00E967CF">
        <w:rPr>
          <w:lang w:val="en-GB"/>
        </w:rPr>
        <w:t>), with the direction and magnitude of the deviation determined by the sign and magnitude of the intercept</w:t>
      </w:r>
      <w:r w:rsidR="003308AE" w:rsidRPr="00E967CF">
        <w:rPr>
          <w:lang w:val="en-GB"/>
        </w:rPr>
        <w:t xml:space="preserve"> (</w:t>
      </w:r>
      <w:r w:rsidR="003308AE" w:rsidRPr="00E967CF">
        <w:rPr>
          <w:i/>
          <w:iCs/>
          <w:lang w:val="en-GB"/>
        </w:rPr>
        <w:t>b</w:t>
      </w:r>
      <w:r w:rsidR="003308AE" w:rsidRPr="00E967CF">
        <w:rPr>
          <w:lang w:val="en-GB"/>
        </w:rPr>
        <w:t>)</w:t>
      </w:r>
      <w:r w:rsidRPr="00E967CF">
        <w:rPr>
          <w:lang w:val="en-GB"/>
        </w:rPr>
        <w:t xml:space="preserve"> and the prevailing pyruvate concentration.</w:t>
      </w:r>
      <w:r w:rsidR="00367ECA" w:rsidRPr="00E967CF">
        <w:rPr>
          <w:lang w:val="en-GB"/>
        </w:rPr>
        <w:t xml:space="preserve"> </w:t>
      </w:r>
      <w:r w:rsidR="002606FA" w:rsidRPr="00E967CF">
        <w:rPr>
          <w:b/>
          <w:bCs/>
          <w:lang w:val="en-GB"/>
        </w:rPr>
        <w:t xml:space="preserve">Fig. </w:t>
      </w:r>
      <w:r w:rsidR="001A548E" w:rsidRPr="00E967CF">
        <w:rPr>
          <w:b/>
          <w:bCs/>
          <w:lang w:val="en-GB"/>
        </w:rPr>
        <w:t>4</w:t>
      </w:r>
      <w:r w:rsidR="002606FA" w:rsidRPr="00E967CF">
        <w:rPr>
          <w:lang w:val="en-GB"/>
        </w:rPr>
        <w:t xml:space="preserve"> demonstrates this mismatch in one patient's time series, where the LPR remained in a similar range despite a near-threefold decrease in the underlying </w:t>
      </w:r>
      <w:r w:rsidR="005979B7" w:rsidRPr="00E967CF">
        <w:rPr>
          <w:lang w:val="en-GB"/>
        </w:rPr>
        <w:t>gradient</w:t>
      </w:r>
      <w:r w:rsidR="002606FA" w:rsidRPr="00E967CF">
        <w:rPr>
          <w:lang w:val="en-GB"/>
        </w:rPr>
        <w:t xml:space="preserve"> between segments.</w:t>
      </w:r>
    </w:p>
    <w:bookmarkEnd w:id="26"/>
    <w:p w14:paraId="572B88E7" w14:textId="4F104D9F" w:rsidR="003012C2" w:rsidRPr="00E967CF" w:rsidRDefault="00B6007D" w:rsidP="003012C2">
      <w:pPr>
        <w:pStyle w:val="Heading2"/>
        <w:rPr>
          <w:lang w:val="en-GB"/>
        </w:rPr>
      </w:pPr>
      <w:r w:rsidRPr="00E967CF">
        <w:rPr>
          <w:lang w:val="en-GB"/>
        </w:rPr>
        <w:t>3.</w:t>
      </w:r>
      <w:r w:rsidR="00B90987" w:rsidRPr="00E967CF">
        <w:rPr>
          <w:lang w:val="en-GB"/>
        </w:rPr>
        <w:t>4</w:t>
      </w:r>
      <w:r w:rsidRPr="00E967CF">
        <w:rPr>
          <w:lang w:val="en-GB"/>
        </w:rPr>
        <w:t xml:space="preserve"> </w:t>
      </w:r>
      <w:r w:rsidR="002439B0" w:rsidRPr="00E967CF">
        <w:rPr>
          <w:lang w:val="en-GB"/>
        </w:rPr>
        <w:t xml:space="preserve">Explaining metabolic </w:t>
      </w:r>
      <w:r w:rsidR="00594538">
        <w:rPr>
          <w:lang w:val="en-GB"/>
        </w:rPr>
        <w:t>polaris</w:t>
      </w:r>
      <w:r w:rsidR="002439B0" w:rsidRPr="00E967CF">
        <w:rPr>
          <w:lang w:val="en-GB"/>
        </w:rPr>
        <w:t>ation</w:t>
      </w:r>
    </w:p>
    <w:p w14:paraId="491F25EA" w14:textId="76F380C6" w:rsidR="000732D6" w:rsidRPr="00E967CF" w:rsidRDefault="006B7AE0" w:rsidP="000732D6">
      <w:pPr>
        <w:rPr>
          <w:lang w:val="en-GB"/>
        </w:rPr>
      </w:pPr>
      <w:r w:rsidRPr="00E967CF">
        <w:rPr>
          <w:lang w:val="en-GB"/>
        </w:rPr>
        <w:t xml:space="preserve">To explain the previously observed </w:t>
      </w:r>
      <w:r w:rsidR="00594538">
        <w:rPr>
          <w:lang w:val="en-GB"/>
        </w:rPr>
        <w:t>polaris</w:t>
      </w:r>
      <w:r w:rsidRPr="00E967CF">
        <w:rPr>
          <w:lang w:val="en-GB"/>
        </w:rPr>
        <w:t>ation of LPR values around the clinical threshold of 25,</w:t>
      </w:r>
      <w:r w:rsidRPr="00E967CF">
        <w:rPr>
          <w:vertAlign w:val="superscript"/>
          <w:lang w:val="en-GB"/>
        </w:rPr>
        <w:t>12,13</w:t>
      </w:r>
      <w:r w:rsidRPr="00E967CF">
        <w:rPr>
          <w:lang w:val="en-GB"/>
        </w:rPr>
        <w:t xml:space="preserve"> we compared the linear parameters of two cohorts: patients whose LPR always exceeded 25 ("Always LPR &gt; 25"; 39 patients, 82 retained segments) and those whose LPR never exceeded 25 ("Never LPR &gt; 25"; 38 patients, 92 retained segments). Notably, both </w:t>
      </w:r>
      <w:r w:rsidRPr="00E967CF">
        <w:rPr>
          <w:lang w:val="en-GB"/>
        </w:rPr>
        <w:lastRenderedPageBreak/>
        <w:t>cohorts had similarly negligible proportions of datapoints in discarded segments (</w:t>
      </w:r>
      <w:r w:rsidRPr="00E967CF">
        <w:rPr>
          <w:i/>
          <w:lang w:val="en-GB"/>
        </w:rPr>
        <w:t>m</w:t>
      </w:r>
      <w:r w:rsidRPr="00E967CF">
        <w:rPr>
          <w:lang w:val="en-GB"/>
        </w:rPr>
        <w:t xml:space="preserve"> ≤ 0) prior to filtering (median 0.0% in both), supporting the comparability of the two groups on the basis of retained data.</w:t>
      </w:r>
    </w:p>
    <w:p w14:paraId="3E0507CC" w14:textId="6EA68A6F" w:rsidR="00A872A5" w:rsidRPr="00E967CF" w:rsidRDefault="000732D6" w:rsidP="000732D6">
      <w:pPr>
        <w:rPr>
          <w:lang w:val="en-GB"/>
        </w:rPr>
      </w:pPr>
      <w:r w:rsidRPr="00E967CF">
        <w:rPr>
          <w:lang w:val="en-GB"/>
        </w:rPr>
        <w:t xml:space="preserve">The "Always LPR &gt; 25" cohort had significantly higher </w:t>
      </w:r>
      <w:r w:rsidR="005979B7" w:rsidRPr="00E967CF">
        <w:rPr>
          <w:lang w:val="en-GB"/>
        </w:rPr>
        <w:t>gradient</w:t>
      </w:r>
      <w:r w:rsidRPr="00E967CF">
        <w:rPr>
          <w:lang w:val="en-GB"/>
        </w:rPr>
        <w:t xml:space="preserve">s (median </w:t>
      </w:r>
      <w:r w:rsidRPr="00E967CF">
        <w:rPr>
          <w:i/>
          <w:iCs/>
          <w:lang w:val="en-GB"/>
        </w:rPr>
        <w:t>m</w:t>
      </w:r>
      <w:r w:rsidRPr="00E967CF">
        <w:rPr>
          <w:lang w:val="en-GB"/>
        </w:rPr>
        <w:t xml:space="preserve"> = 27.39, IQR: 23.82–33.78) compared to the "Never LPR &gt; 25" cohort (median </w:t>
      </w:r>
      <w:r w:rsidRPr="00E967CF">
        <w:rPr>
          <w:i/>
          <w:iCs/>
          <w:lang w:val="en-GB"/>
        </w:rPr>
        <w:t>m</w:t>
      </w:r>
      <w:r w:rsidRPr="00E967CF">
        <w:rPr>
          <w:lang w:val="en-GB"/>
        </w:rPr>
        <w:t xml:space="preserve"> = 14.59, IQR: 12.44–18.20; </w:t>
      </w:r>
      <w:r w:rsidRPr="00E967CF">
        <w:rPr>
          <w:i/>
          <w:iCs/>
          <w:lang w:val="en-GB"/>
        </w:rPr>
        <w:t>p</w:t>
      </w:r>
      <w:r w:rsidRPr="00E967CF">
        <w:rPr>
          <w:lang w:val="en-GB"/>
        </w:rPr>
        <w:t xml:space="preserve"> &lt; 0.001), significantly higher intercepts (median </w:t>
      </w:r>
      <w:r w:rsidRPr="00E967CF">
        <w:rPr>
          <w:i/>
          <w:iCs/>
          <w:lang w:val="en-GB"/>
        </w:rPr>
        <w:t>b</w:t>
      </w:r>
      <w:r w:rsidRPr="00E967CF">
        <w:rPr>
          <w:lang w:val="en-GB"/>
        </w:rPr>
        <w:t xml:space="preserve"> = 1.62 mM, IQR: 0.58–2.76 vs. 0.19 mM, IQR: -0.15–0.37; </w:t>
      </w:r>
      <w:r w:rsidRPr="00E967CF">
        <w:rPr>
          <w:i/>
          <w:iCs/>
          <w:lang w:val="en-GB"/>
        </w:rPr>
        <w:t>p</w:t>
      </w:r>
      <w:r w:rsidRPr="00E967CF">
        <w:rPr>
          <w:lang w:val="en-GB"/>
        </w:rPr>
        <w:t xml:space="preserve"> &lt; 0.001), and a significantly higher proportion of Type P</w:t>
      </w:r>
      <w:r w:rsidRPr="00E967CF">
        <w:rPr>
          <w:i/>
          <w:iCs/>
          <w:vertAlign w:val="subscript"/>
          <w:lang w:val="en-GB"/>
        </w:rPr>
        <w:t>b</w:t>
      </w:r>
      <w:r w:rsidRPr="00E967CF">
        <w:rPr>
          <w:lang w:val="en-GB"/>
        </w:rPr>
        <w:t xml:space="preserve"> segments (median 100.0% vs. 66.3%; </w:t>
      </w:r>
      <w:r w:rsidRPr="00E967CF">
        <w:rPr>
          <w:i/>
          <w:iCs/>
          <w:lang w:val="en-GB"/>
        </w:rPr>
        <w:t>p</w:t>
      </w:r>
      <w:r w:rsidRPr="00E967CF">
        <w:rPr>
          <w:lang w:val="en-GB"/>
        </w:rPr>
        <w:t xml:space="preserve"> &lt; 0.001) (</w:t>
      </w:r>
      <w:r w:rsidRPr="00E967CF">
        <w:rPr>
          <w:b/>
          <w:bCs/>
          <w:lang w:val="en-GB"/>
        </w:rPr>
        <w:t xml:space="preserve">Table </w:t>
      </w:r>
      <w:r w:rsidR="00291869" w:rsidRPr="00E967CF">
        <w:rPr>
          <w:b/>
          <w:bCs/>
          <w:lang w:val="en-GB"/>
        </w:rPr>
        <w:t>S</w:t>
      </w:r>
      <w:r w:rsidR="00D16AEC">
        <w:rPr>
          <w:b/>
          <w:bCs/>
          <w:lang w:val="en-GB"/>
        </w:rPr>
        <w:t>3</w:t>
      </w:r>
      <w:r w:rsidRPr="00E967CF">
        <w:rPr>
          <w:lang w:val="en-GB"/>
        </w:rPr>
        <w:t xml:space="preserve">). </w:t>
      </w:r>
      <w:r w:rsidR="00E86766" w:rsidRPr="00E967CF">
        <w:rPr>
          <w:lang w:val="en-GB"/>
        </w:rPr>
        <w:t xml:space="preserve">These differences in underlying linear parameters produce fundamentally different hyperbolic LPR–pyruvate curves: the combination of higher </w:t>
      </w:r>
      <w:r w:rsidR="00E86766" w:rsidRPr="00E967CF">
        <w:rPr>
          <w:i/>
          <w:iCs/>
          <w:lang w:val="en-GB"/>
        </w:rPr>
        <w:t>m</w:t>
      </w:r>
      <w:r w:rsidR="00E86766" w:rsidRPr="00E967CF">
        <w:rPr>
          <w:lang w:val="en-GB"/>
        </w:rPr>
        <w:t xml:space="preserve"> and higher positive </w:t>
      </w:r>
      <w:r w:rsidR="00E86766" w:rsidRPr="00E967CF">
        <w:rPr>
          <w:i/>
          <w:iCs/>
          <w:lang w:val="en-GB"/>
        </w:rPr>
        <w:t>b</w:t>
      </w:r>
      <w:r w:rsidR="00E86766" w:rsidRPr="00E967CF">
        <w:rPr>
          <w:lang w:val="en-GB"/>
        </w:rPr>
        <w:t xml:space="preserve"> in the "Always" cohort generates LPR values that are generally above 25 across the physiological pyruvate range, while the lower </w:t>
      </w:r>
      <w:r w:rsidR="00E86766" w:rsidRPr="00E967CF">
        <w:rPr>
          <w:i/>
          <w:iCs/>
          <w:lang w:val="en-GB"/>
        </w:rPr>
        <w:t>m</w:t>
      </w:r>
      <w:r w:rsidR="00E86766" w:rsidRPr="00E967CF">
        <w:rPr>
          <w:lang w:val="en-GB"/>
        </w:rPr>
        <w:t xml:space="preserve"> and near-zero </w:t>
      </w:r>
      <w:r w:rsidR="00E86766" w:rsidRPr="00E967CF">
        <w:rPr>
          <w:i/>
          <w:iCs/>
          <w:lang w:val="en-GB"/>
        </w:rPr>
        <w:t>b</w:t>
      </w:r>
      <w:r w:rsidR="00E86766" w:rsidRPr="00E967CF">
        <w:rPr>
          <w:lang w:val="en-GB"/>
        </w:rPr>
        <w:t xml:space="preserve"> in the "Never" cohort produces flatter or inverted curves that keep LPR below the threshold.</w:t>
      </w:r>
      <w:r w:rsidR="008928A0" w:rsidRPr="00E967CF">
        <w:rPr>
          <w:lang w:val="en-GB"/>
        </w:rPr>
        <w:t xml:space="preserve"> </w:t>
      </w:r>
      <w:r w:rsidRPr="00E967CF">
        <w:rPr>
          <w:lang w:val="en-GB"/>
        </w:rPr>
        <w:t xml:space="preserve">Thus, the previously unexplained </w:t>
      </w:r>
      <w:r w:rsidR="00594538">
        <w:rPr>
          <w:lang w:val="en-GB"/>
        </w:rPr>
        <w:t>polaris</w:t>
      </w:r>
      <w:r w:rsidRPr="00E967CF">
        <w:rPr>
          <w:lang w:val="en-GB"/>
        </w:rPr>
        <w:t>ation of LPR about 25 is a direct mathematical consequence of differences in the underlying linear lactate–pyruvate dynamics.</w:t>
      </w:r>
    </w:p>
    <w:p w14:paraId="6AA65870" w14:textId="02CA085A" w:rsidR="007B676A" w:rsidRPr="00E967CF" w:rsidRDefault="007B676A" w:rsidP="007B676A">
      <w:pPr>
        <w:pStyle w:val="Heading2"/>
        <w:rPr>
          <w:lang w:val="en-GB"/>
        </w:rPr>
      </w:pPr>
      <w:r w:rsidRPr="00E967CF">
        <w:rPr>
          <w:lang w:val="en-GB"/>
        </w:rPr>
        <w:t xml:space="preserve">3.5 </w:t>
      </w:r>
      <w:r w:rsidR="00B96458" w:rsidRPr="00E967CF">
        <w:rPr>
          <w:lang w:val="en-GB"/>
        </w:rPr>
        <w:t>Substrate delivery and LPR fidelity</w:t>
      </w:r>
    </w:p>
    <w:p w14:paraId="5C9A909A" w14:textId="00ABE889" w:rsidR="001351A3" w:rsidRPr="00E967CF" w:rsidRDefault="00BE777A" w:rsidP="001351A3">
      <w:pPr>
        <w:rPr>
          <w:lang w:val="en-GB"/>
        </w:rPr>
      </w:pPr>
      <w:r w:rsidRPr="00E967CF">
        <w:rPr>
          <w:lang w:val="en-GB"/>
        </w:rPr>
        <w:t>Next, we</w:t>
      </w:r>
      <w:r w:rsidR="008F12E0" w:rsidRPr="00E967CF">
        <w:rPr>
          <w:lang w:val="en-GB"/>
        </w:rPr>
        <w:t xml:space="preserve"> investigated the relationships between cerebral glucose (a proxy for substrate delivery), LPR, and the linear parameters</w:t>
      </w:r>
      <w:r w:rsidR="001351A3" w:rsidRPr="00E967CF">
        <w:rPr>
          <w:lang w:val="en-GB"/>
        </w:rPr>
        <w:t xml:space="preserve"> (</w:t>
      </w:r>
      <w:r w:rsidR="001351A3" w:rsidRPr="00E967CF">
        <w:rPr>
          <w:b/>
          <w:bCs/>
          <w:lang w:val="en-GB"/>
        </w:rPr>
        <w:t xml:space="preserve">Fig. </w:t>
      </w:r>
      <w:r w:rsidR="001A548E" w:rsidRPr="00E967CF">
        <w:rPr>
          <w:b/>
          <w:bCs/>
          <w:lang w:val="en-GB"/>
        </w:rPr>
        <w:t>5</w:t>
      </w:r>
      <w:r w:rsidR="001351A3" w:rsidRPr="00E967CF">
        <w:rPr>
          <w:b/>
          <w:bCs/>
          <w:lang w:val="en-GB"/>
        </w:rPr>
        <w:t>A</w:t>
      </w:r>
      <w:r w:rsidR="001351A3" w:rsidRPr="00E967CF">
        <w:rPr>
          <w:lang w:val="en-GB"/>
        </w:rPr>
        <w:t>–</w:t>
      </w:r>
      <w:r w:rsidR="001351A3" w:rsidRPr="00E967CF">
        <w:rPr>
          <w:b/>
          <w:bCs/>
          <w:lang w:val="en-GB"/>
        </w:rPr>
        <w:t>D</w:t>
      </w:r>
      <w:r w:rsidR="001351A3" w:rsidRPr="00E967CF">
        <w:rPr>
          <w:lang w:val="en-GB"/>
        </w:rPr>
        <w:t>). Glucose has a dual influence on the system: it affects the</w:t>
      </w:r>
      <w:r w:rsidR="003B3382" w:rsidRPr="00E967CF">
        <w:rPr>
          <w:lang w:val="en-GB"/>
        </w:rPr>
        <w:t xml:space="preserve"> </w:t>
      </w:r>
      <w:r w:rsidR="001351A3" w:rsidRPr="00E967CF">
        <w:rPr>
          <w:lang w:val="en-GB"/>
        </w:rPr>
        <w:t>level of anaerobic activity (</w:t>
      </w:r>
      <w:r w:rsidR="001351A3" w:rsidRPr="00E967CF">
        <w:rPr>
          <w:i/>
          <w:iCs/>
          <w:lang w:val="en-GB"/>
        </w:rPr>
        <w:t>m</w:t>
      </w:r>
      <w:r w:rsidR="001351A3" w:rsidRPr="00E967CF">
        <w:rPr>
          <w:lang w:val="en-GB"/>
        </w:rPr>
        <w:t xml:space="preserve">), and it simultaneously drives pyruvate supply, generating artefactual LPR fluctuations through the hyperbolic relationship (Equation 6). </w:t>
      </w:r>
      <w:r w:rsidR="00432969" w:rsidRPr="00E967CF">
        <w:rPr>
          <w:lang w:val="en-GB"/>
        </w:rPr>
        <w:t>At the level of individual observations</w:t>
      </w:r>
      <w:r w:rsidR="001351A3" w:rsidRPr="00E967CF">
        <w:rPr>
          <w:lang w:val="en-GB"/>
        </w:rPr>
        <w:t xml:space="preserve">, glucose was strongly and positively associated with pyruvate (β = 13.71 µM/mM, </w:t>
      </w:r>
      <w:r w:rsidR="001351A3" w:rsidRPr="00E967CF">
        <w:rPr>
          <w:i/>
          <w:iCs/>
          <w:lang w:val="en-GB"/>
        </w:rPr>
        <w:t>p</w:t>
      </w:r>
      <w:r w:rsidR="001351A3" w:rsidRPr="00E967CF">
        <w:rPr>
          <w:lang w:val="en-GB"/>
        </w:rPr>
        <w:t xml:space="preserve"> &lt; 0.001; </w:t>
      </w:r>
      <w:bookmarkStart w:id="27" w:name="_Hlk222608705"/>
      <w:r w:rsidR="001351A3" w:rsidRPr="00E967CF">
        <w:rPr>
          <w:lang w:val="en-GB"/>
        </w:rPr>
        <w:t>residual SD = 30.8 µM</w:t>
      </w:r>
      <w:bookmarkEnd w:id="27"/>
      <w:r w:rsidR="001351A3" w:rsidRPr="00E967CF">
        <w:rPr>
          <w:lang w:val="en-GB"/>
        </w:rPr>
        <w:t xml:space="preserve">), </w:t>
      </w:r>
      <w:r w:rsidR="00432969" w:rsidRPr="00E967CF">
        <w:rPr>
          <w:lang w:val="en-GB"/>
        </w:rPr>
        <w:t>supporting</w:t>
      </w:r>
      <w:r w:rsidR="001351A3" w:rsidRPr="00E967CF">
        <w:rPr>
          <w:lang w:val="en-GB"/>
        </w:rPr>
        <w:t xml:space="preserve"> that glucose drives pyruvate and validating the examination of </w:t>
      </w:r>
      <w:r w:rsidR="00DF74EC" w:rsidRPr="00E967CF">
        <w:rPr>
          <w:lang w:val="en-GB"/>
        </w:rPr>
        <w:t xml:space="preserve">hyperbolic </w:t>
      </w:r>
      <w:r w:rsidR="001351A3" w:rsidRPr="00E967CF">
        <w:rPr>
          <w:lang w:val="en-GB"/>
        </w:rPr>
        <w:t>LPR–glucose association</w:t>
      </w:r>
      <w:r w:rsidR="00DF74EC" w:rsidRPr="00E967CF">
        <w:rPr>
          <w:lang w:val="en-GB"/>
        </w:rPr>
        <w:t>s</w:t>
      </w:r>
      <w:r w:rsidR="001351A3" w:rsidRPr="00E967CF">
        <w:rPr>
          <w:lang w:val="en-GB"/>
        </w:rPr>
        <w:t>.</w:t>
      </w:r>
    </w:p>
    <w:p w14:paraId="30AA5C82" w14:textId="146E305F" w:rsidR="001351A3" w:rsidRPr="00E967CF" w:rsidRDefault="001351A3" w:rsidP="001351A3">
      <w:pPr>
        <w:rPr>
          <w:lang w:val="en-GB"/>
        </w:rPr>
      </w:pPr>
      <w:r w:rsidRPr="00E967CF">
        <w:rPr>
          <w:lang w:val="en-GB"/>
        </w:rPr>
        <w:t xml:space="preserve">Within segments of stable </w:t>
      </w:r>
      <w:r w:rsidR="005979B7" w:rsidRPr="00E967CF">
        <w:rPr>
          <w:lang w:val="en-GB"/>
        </w:rPr>
        <w:t>gradient</w:t>
      </w:r>
      <w:r w:rsidRPr="00E967CF">
        <w:rPr>
          <w:lang w:val="en-GB"/>
        </w:rPr>
        <w:t xml:space="preserve"> (</w:t>
      </w:r>
      <w:r w:rsidRPr="00E967CF">
        <w:rPr>
          <w:i/>
          <w:iCs/>
          <w:lang w:val="en-GB"/>
        </w:rPr>
        <w:t>m</w:t>
      </w:r>
      <w:r w:rsidRPr="00E967CF">
        <w:rPr>
          <w:lang w:val="en-GB"/>
        </w:rPr>
        <w:t>), the LPR exhibited a hyperbolic association with glucose that depended on the sign of the intercept (</w:t>
      </w:r>
      <w:r w:rsidRPr="00E967CF">
        <w:rPr>
          <w:b/>
          <w:bCs/>
          <w:lang w:val="en-GB"/>
        </w:rPr>
        <w:t xml:space="preserve">Fig. </w:t>
      </w:r>
      <w:r w:rsidR="001A548E" w:rsidRPr="00E967CF">
        <w:rPr>
          <w:b/>
          <w:bCs/>
          <w:lang w:val="en-GB"/>
        </w:rPr>
        <w:t>5</w:t>
      </w:r>
      <w:r w:rsidRPr="00E967CF">
        <w:rPr>
          <w:b/>
          <w:bCs/>
          <w:lang w:val="en-GB"/>
        </w:rPr>
        <w:t>A</w:t>
      </w:r>
      <w:r w:rsidRPr="00E967CF">
        <w:rPr>
          <w:lang w:val="en-GB"/>
        </w:rPr>
        <w:t>–</w:t>
      </w:r>
      <w:r w:rsidRPr="00E967CF">
        <w:rPr>
          <w:b/>
          <w:bCs/>
          <w:lang w:val="en-GB"/>
        </w:rPr>
        <w:t>B</w:t>
      </w:r>
      <w:r w:rsidRPr="00E967CF">
        <w:rPr>
          <w:lang w:val="en-GB"/>
        </w:rPr>
        <w:t>). In Type P</w:t>
      </w:r>
      <w:r w:rsidRPr="00E967CF">
        <w:rPr>
          <w:i/>
          <w:iCs/>
          <w:vertAlign w:val="subscript"/>
          <w:lang w:val="en-GB"/>
        </w:rPr>
        <w:t>b</w:t>
      </w:r>
      <w:r w:rsidRPr="00E967CF">
        <w:rPr>
          <w:lang w:val="en-GB"/>
        </w:rPr>
        <w:t xml:space="preserve"> segments, increasing glucose was associated with decreasing LPR (</w:t>
      </w:r>
      <w:r w:rsidRPr="00E967CF">
        <w:rPr>
          <w:i/>
          <w:iCs/>
          <w:lang w:val="en-GB"/>
        </w:rPr>
        <w:t>p</w:t>
      </w:r>
      <w:r w:rsidRPr="00E967CF">
        <w:rPr>
          <w:lang w:val="en-GB"/>
        </w:rPr>
        <w:t xml:space="preserve"> &lt; 0.001; </w:t>
      </w:r>
      <w:r w:rsidRPr="00E967CF">
        <w:rPr>
          <w:b/>
          <w:bCs/>
          <w:lang w:val="en-GB"/>
        </w:rPr>
        <w:t xml:space="preserve">Fig. </w:t>
      </w:r>
      <w:r w:rsidR="001A548E" w:rsidRPr="00E967CF">
        <w:rPr>
          <w:b/>
          <w:bCs/>
          <w:lang w:val="en-GB"/>
        </w:rPr>
        <w:t>5</w:t>
      </w:r>
      <w:r w:rsidRPr="00E967CF">
        <w:rPr>
          <w:b/>
          <w:bCs/>
          <w:lang w:val="en-GB"/>
        </w:rPr>
        <w:t>A</w:t>
      </w:r>
      <w:r w:rsidRPr="00E967CF">
        <w:rPr>
          <w:lang w:val="en-GB"/>
        </w:rPr>
        <w:t>), while in Type N</w:t>
      </w:r>
      <w:r w:rsidRPr="00E967CF">
        <w:rPr>
          <w:i/>
          <w:iCs/>
          <w:vertAlign w:val="subscript"/>
          <w:lang w:val="en-GB"/>
        </w:rPr>
        <w:t>b</w:t>
      </w:r>
      <w:r w:rsidRPr="00E967CF">
        <w:rPr>
          <w:lang w:val="en-GB"/>
        </w:rPr>
        <w:t xml:space="preserve"> segments the association reversed (</w:t>
      </w:r>
      <w:r w:rsidRPr="00E967CF">
        <w:rPr>
          <w:i/>
          <w:iCs/>
          <w:lang w:val="en-GB"/>
        </w:rPr>
        <w:t>p</w:t>
      </w:r>
      <w:r w:rsidRPr="00E967CF">
        <w:rPr>
          <w:lang w:val="en-GB"/>
        </w:rPr>
        <w:t xml:space="preserve"> &lt; 0.001; </w:t>
      </w:r>
      <w:r w:rsidRPr="00E967CF">
        <w:rPr>
          <w:b/>
          <w:bCs/>
          <w:lang w:val="en-GB"/>
        </w:rPr>
        <w:t xml:space="preserve">Fig. </w:t>
      </w:r>
      <w:r w:rsidR="001A548E" w:rsidRPr="00E967CF">
        <w:rPr>
          <w:b/>
          <w:bCs/>
          <w:lang w:val="en-GB"/>
        </w:rPr>
        <w:t>5</w:t>
      </w:r>
      <w:r w:rsidRPr="00E967CF">
        <w:rPr>
          <w:b/>
          <w:bCs/>
          <w:lang w:val="en-GB"/>
        </w:rPr>
        <w:t>B</w:t>
      </w:r>
      <w:r w:rsidRPr="00E967CF">
        <w:rPr>
          <w:lang w:val="en-GB"/>
        </w:rPr>
        <w:t xml:space="preserve">; </w:t>
      </w:r>
      <w:r w:rsidRPr="00E967CF">
        <w:rPr>
          <w:i/>
          <w:iCs/>
          <w:lang w:val="en-GB"/>
        </w:rPr>
        <w:t>p</w:t>
      </w:r>
      <w:r w:rsidRPr="00E967CF">
        <w:rPr>
          <w:lang w:val="en-GB"/>
        </w:rPr>
        <w:t>-values Benjamini-Hochberg corrected, n = 2).</w:t>
      </w:r>
    </w:p>
    <w:p w14:paraId="12ABA4AC" w14:textId="33AC955E" w:rsidR="001351A3" w:rsidRPr="00E967CF" w:rsidRDefault="001351A3" w:rsidP="001351A3">
      <w:pPr>
        <w:rPr>
          <w:lang w:val="en-GB"/>
        </w:rPr>
      </w:pPr>
      <w:bookmarkStart w:id="28" w:name="_Hlk222598235"/>
      <w:r w:rsidRPr="00E967CF">
        <w:rPr>
          <w:lang w:val="en-GB"/>
        </w:rPr>
        <w:t xml:space="preserve">At the between-segment level, the LPR correlated positively with </w:t>
      </w:r>
      <w:r w:rsidRPr="00E967CF">
        <w:rPr>
          <w:i/>
          <w:iCs/>
          <w:lang w:val="en-GB"/>
        </w:rPr>
        <w:t>m</w:t>
      </w:r>
      <w:r w:rsidRPr="00E967CF">
        <w:rPr>
          <w:lang w:val="en-GB"/>
        </w:rPr>
        <w:t xml:space="preserve"> (</w:t>
      </w:r>
      <w:r w:rsidRPr="00E967CF">
        <w:rPr>
          <w:i/>
          <w:iCs/>
          <w:lang w:val="en-GB"/>
        </w:rPr>
        <w:t>p</w:t>
      </w:r>
      <w:r w:rsidRPr="00E967CF">
        <w:rPr>
          <w:lang w:val="en-GB"/>
        </w:rPr>
        <w:t xml:space="preserve"> &lt; 0.001; </w:t>
      </w:r>
      <w:r w:rsidRPr="00E967CF">
        <w:rPr>
          <w:b/>
          <w:bCs/>
          <w:lang w:val="en-GB"/>
        </w:rPr>
        <w:t xml:space="preserve">Fig. </w:t>
      </w:r>
      <w:r w:rsidR="001A548E" w:rsidRPr="00E967CF">
        <w:rPr>
          <w:b/>
          <w:bCs/>
          <w:lang w:val="en-GB"/>
        </w:rPr>
        <w:t>5</w:t>
      </w:r>
      <w:r w:rsidRPr="00E967CF">
        <w:rPr>
          <w:b/>
          <w:bCs/>
          <w:lang w:val="en-GB"/>
        </w:rPr>
        <w:t>C</w:t>
      </w:r>
      <w:r w:rsidRPr="00E967CF">
        <w:rPr>
          <w:lang w:val="en-GB"/>
        </w:rPr>
        <w:t xml:space="preserve">), but the association was heavily </w:t>
      </w:r>
      <w:r w:rsidR="00EE7CC3" w:rsidRPr="00E967CF">
        <w:rPr>
          <w:lang w:val="en-GB"/>
        </w:rPr>
        <w:t>attenuated</w:t>
      </w:r>
      <w:r w:rsidR="00D34B38" w:rsidRPr="00E967CF">
        <w:rPr>
          <w:lang w:val="en-GB"/>
        </w:rPr>
        <w:t xml:space="preserve"> (</w:t>
      </w:r>
      <w:r w:rsidR="00FA5FDE" w:rsidRPr="00E967CF">
        <w:rPr>
          <w:lang w:val="en-GB"/>
        </w:rPr>
        <w:t xml:space="preserve">β = 0.255, i.e., 0.255-unit increase in segment median LPR per unit increase in </w:t>
      </w:r>
      <w:r w:rsidR="00FA5FDE" w:rsidRPr="00E967CF">
        <w:rPr>
          <w:i/>
          <w:iCs/>
          <w:lang w:val="en-GB"/>
        </w:rPr>
        <w:t>m</w:t>
      </w:r>
      <w:r w:rsidR="00FA5FDE" w:rsidRPr="00E967CF">
        <w:rPr>
          <w:lang w:val="en-GB"/>
        </w:rPr>
        <w:t xml:space="preserve">, compared to a theoretical β = 1 if LPR perfectly tracked the </w:t>
      </w:r>
      <w:r w:rsidR="005979B7" w:rsidRPr="00E967CF">
        <w:rPr>
          <w:lang w:val="en-GB"/>
        </w:rPr>
        <w:lastRenderedPageBreak/>
        <w:t>gradient</w:t>
      </w:r>
      <w:r w:rsidR="00FB0D3E" w:rsidRPr="00E967CF">
        <w:rPr>
          <w:lang w:val="en-GB"/>
        </w:rPr>
        <w:t>)</w:t>
      </w:r>
      <w:r w:rsidR="00DF7938" w:rsidRPr="00E967CF">
        <w:rPr>
          <w:lang w:val="en-GB"/>
        </w:rPr>
        <w:t>.</w:t>
      </w:r>
      <w:r w:rsidR="00EE7CC3" w:rsidRPr="00E967CF">
        <w:rPr>
          <w:lang w:val="en-GB"/>
        </w:rPr>
        <w:t xml:space="preserve"> </w:t>
      </w:r>
      <w:bookmarkEnd w:id="28"/>
      <w:r w:rsidRPr="00E967CF">
        <w:rPr>
          <w:lang w:val="en-GB"/>
        </w:rPr>
        <w:t xml:space="preserve">Part of </w:t>
      </w:r>
      <w:r w:rsidR="006404C1" w:rsidRPr="00E967CF">
        <w:rPr>
          <w:lang w:val="en-GB"/>
        </w:rPr>
        <w:t>the</w:t>
      </w:r>
      <w:r w:rsidRPr="00E967CF">
        <w:rPr>
          <w:lang w:val="en-GB"/>
        </w:rPr>
        <w:t xml:space="preserve"> attenuation is explained by a significant negative coupling between the </w:t>
      </w:r>
      <w:r w:rsidR="005979B7" w:rsidRPr="00E967CF">
        <w:rPr>
          <w:lang w:val="en-GB"/>
        </w:rPr>
        <w:t>gradient</w:t>
      </w:r>
      <w:r w:rsidRPr="00E967CF">
        <w:rPr>
          <w:lang w:val="en-GB"/>
        </w:rPr>
        <w:t xml:space="preserve"> and the intercept (β = -0.097 mM per unit </w:t>
      </w:r>
      <w:r w:rsidRPr="00E967CF">
        <w:rPr>
          <w:i/>
          <w:iCs/>
          <w:lang w:val="en-GB"/>
        </w:rPr>
        <w:t>m</w:t>
      </w:r>
      <w:r w:rsidRPr="00E967CF">
        <w:rPr>
          <w:lang w:val="en-GB"/>
        </w:rPr>
        <w:t xml:space="preserve">, </w:t>
      </w:r>
      <w:r w:rsidRPr="00E967CF">
        <w:rPr>
          <w:i/>
          <w:iCs/>
          <w:lang w:val="en-GB"/>
        </w:rPr>
        <w:t>p</w:t>
      </w:r>
      <w:r w:rsidRPr="00E967CF">
        <w:rPr>
          <w:lang w:val="en-GB"/>
        </w:rPr>
        <w:t xml:space="preserve"> &lt; 0.001)</w:t>
      </w:r>
      <w:r w:rsidR="0085174A" w:rsidRPr="00E967CF">
        <w:rPr>
          <w:lang w:val="en-GB"/>
        </w:rPr>
        <w:t xml:space="preserve">. </w:t>
      </w:r>
      <w:r w:rsidR="007C45F4" w:rsidRPr="00E967CF">
        <w:rPr>
          <w:lang w:val="en-GB"/>
        </w:rPr>
        <w:t>G</w:t>
      </w:r>
      <w:r w:rsidR="00BA4C8F" w:rsidRPr="00E967CF">
        <w:rPr>
          <w:lang w:val="en-GB"/>
        </w:rPr>
        <w:t>iven Equation 6</w:t>
      </w:r>
      <w:r w:rsidRPr="00E967CF">
        <w:rPr>
          <w:lang w:val="en-GB"/>
        </w:rPr>
        <w:t xml:space="preserve"> </w:t>
      </w:r>
      <w:r w:rsidR="00BA4C8F" w:rsidRPr="00E967CF">
        <w:rPr>
          <w:lang w:val="en-GB"/>
        </w:rPr>
        <w:t>(</w:t>
      </w:r>
      <w:r w:rsidRPr="00E967CF">
        <w:rPr>
          <w:lang w:val="en-GB"/>
        </w:rPr>
        <w:t xml:space="preserve">LPR = </w:t>
      </w:r>
      <w:r w:rsidRPr="00E967CF">
        <w:rPr>
          <w:i/>
          <w:iCs/>
          <w:lang w:val="en-GB"/>
        </w:rPr>
        <w:t>m</w:t>
      </w:r>
      <w:r w:rsidRPr="00E967CF">
        <w:rPr>
          <w:lang w:val="en-GB"/>
        </w:rPr>
        <w:t xml:space="preserve"> + </w:t>
      </w:r>
      <w:r w:rsidRPr="00E967CF">
        <w:rPr>
          <w:i/>
          <w:iCs/>
          <w:lang w:val="en-GB"/>
        </w:rPr>
        <w:t>b</w:t>
      </w:r>
      <w:r w:rsidRPr="00E967CF">
        <w:rPr>
          <w:lang w:val="en-GB"/>
        </w:rPr>
        <w:t>/P</w:t>
      </w:r>
      <w:r w:rsidR="00BA4C8F" w:rsidRPr="00E967CF">
        <w:rPr>
          <w:lang w:val="en-GB"/>
        </w:rPr>
        <w:t>)</w:t>
      </w:r>
      <w:r w:rsidR="007C45F4" w:rsidRPr="00E967CF">
        <w:rPr>
          <w:lang w:val="en-GB"/>
        </w:rPr>
        <w:t xml:space="preserve">: </w:t>
      </w:r>
      <w:r w:rsidRPr="00E967CF">
        <w:rPr>
          <w:lang w:val="en-GB"/>
        </w:rPr>
        <w:t xml:space="preserve">when </w:t>
      </w:r>
      <w:r w:rsidRPr="00E967CF">
        <w:rPr>
          <w:i/>
          <w:iCs/>
          <w:lang w:val="en-GB"/>
        </w:rPr>
        <w:t>m</w:t>
      </w:r>
      <w:r w:rsidRPr="00E967CF">
        <w:rPr>
          <w:lang w:val="en-GB"/>
        </w:rPr>
        <w:t xml:space="preserve"> increases and </w:t>
      </w:r>
      <w:r w:rsidRPr="00E967CF">
        <w:rPr>
          <w:i/>
          <w:iCs/>
          <w:lang w:val="en-GB"/>
        </w:rPr>
        <w:t>b</w:t>
      </w:r>
      <w:r w:rsidRPr="00E967CF">
        <w:rPr>
          <w:lang w:val="en-GB"/>
        </w:rPr>
        <w:t xml:space="preserve"> simultaneously decreases</w:t>
      </w:r>
      <w:r w:rsidR="007C45F4" w:rsidRPr="00E967CF">
        <w:rPr>
          <w:lang w:val="en-GB"/>
        </w:rPr>
        <w:t>,</w:t>
      </w:r>
      <w:r w:rsidR="00777B5D" w:rsidRPr="00E967CF">
        <w:rPr>
          <w:lang w:val="en-GB"/>
        </w:rPr>
        <w:t xml:space="preserve"> </w:t>
      </w:r>
      <w:r w:rsidRPr="00E967CF">
        <w:rPr>
          <w:lang w:val="en-GB"/>
        </w:rPr>
        <w:t xml:space="preserve">the opposing change in </w:t>
      </w:r>
      <w:r w:rsidRPr="00E967CF">
        <w:rPr>
          <w:i/>
          <w:iCs/>
          <w:lang w:val="en-GB"/>
        </w:rPr>
        <w:t>b</w:t>
      </w:r>
      <w:r w:rsidRPr="00E967CF">
        <w:rPr>
          <w:lang w:val="en-GB"/>
        </w:rPr>
        <w:t xml:space="preserve"> partially offsets the effect of higher </w:t>
      </w:r>
      <w:r w:rsidRPr="00E967CF">
        <w:rPr>
          <w:i/>
          <w:iCs/>
          <w:lang w:val="en-GB"/>
        </w:rPr>
        <w:t>m</w:t>
      </w:r>
      <w:r w:rsidRPr="00E967CF">
        <w:rPr>
          <w:lang w:val="en-GB"/>
        </w:rPr>
        <w:t xml:space="preserve"> on the LPR.</w:t>
      </w:r>
    </w:p>
    <w:p w14:paraId="082766FB" w14:textId="19DDD842" w:rsidR="007B676A" w:rsidRPr="00E967CF" w:rsidRDefault="001351A3" w:rsidP="001351A3">
      <w:pPr>
        <w:rPr>
          <w:lang w:val="en-GB"/>
        </w:rPr>
      </w:pPr>
      <w:r w:rsidRPr="00E967CF">
        <w:rPr>
          <w:lang w:val="en-GB"/>
        </w:rPr>
        <w:t xml:space="preserve">Finally, the </w:t>
      </w:r>
      <w:r w:rsidR="005979B7" w:rsidRPr="00E967CF">
        <w:rPr>
          <w:lang w:val="en-GB"/>
        </w:rPr>
        <w:t>gradient</w:t>
      </w:r>
      <w:r w:rsidRPr="00E967CF">
        <w:rPr>
          <w:lang w:val="en-GB"/>
        </w:rPr>
        <w:t xml:space="preserve"> (</w:t>
      </w:r>
      <w:r w:rsidRPr="00E967CF">
        <w:rPr>
          <w:i/>
          <w:iCs/>
          <w:lang w:val="en-GB"/>
        </w:rPr>
        <w:t>m</w:t>
      </w:r>
      <w:r w:rsidRPr="00E967CF">
        <w:rPr>
          <w:lang w:val="en-GB"/>
        </w:rPr>
        <w:t xml:space="preserve">) showed a robust negative association with segment-level median glucose (β = -1.75 mM⁻¹, </w:t>
      </w:r>
      <w:r w:rsidRPr="00E967CF">
        <w:rPr>
          <w:i/>
          <w:iCs/>
          <w:lang w:val="en-GB"/>
        </w:rPr>
        <w:t>p</w:t>
      </w:r>
      <w:r w:rsidRPr="00E967CF">
        <w:rPr>
          <w:lang w:val="en-GB"/>
        </w:rPr>
        <w:t xml:space="preserve"> &lt; 0.001; </w:t>
      </w:r>
      <w:r w:rsidRPr="00E967CF">
        <w:rPr>
          <w:b/>
          <w:bCs/>
          <w:lang w:val="en-GB"/>
        </w:rPr>
        <w:t xml:space="preserve">Fig. </w:t>
      </w:r>
      <w:r w:rsidR="001A548E" w:rsidRPr="00E967CF">
        <w:rPr>
          <w:b/>
          <w:bCs/>
          <w:lang w:val="en-GB"/>
        </w:rPr>
        <w:t>5</w:t>
      </w:r>
      <w:r w:rsidRPr="00E967CF">
        <w:rPr>
          <w:b/>
          <w:bCs/>
          <w:lang w:val="en-GB"/>
        </w:rPr>
        <w:t>D</w:t>
      </w:r>
      <w:r w:rsidRPr="00E967CF">
        <w:rPr>
          <w:lang w:val="en-GB"/>
        </w:rPr>
        <w:t>), consistent with the expected physiological response: reduced substrate delivery is associated with increased anaerobic activity</w:t>
      </w:r>
      <w:r w:rsidR="00D015EB" w:rsidRPr="00E967CF">
        <w:rPr>
          <w:lang w:val="en-GB"/>
        </w:rPr>
        <w:t xml:space="preserve">. </w:t>
      </w:r>
      <w:r w:rsidRPr="00E967CF">
        <w:rPr>
          <w:lang w:val="en-GB"/>
        </w:rPr>
        <w:t xml:space="preserve">The segment-level median LPR was also negatively associated with glucose (β = -2.41 mM⁻¹, </w:t>
      </w:r>
      <w:r w:rsidRPr="00E967CF">
        <w:rPr>
          <w:i/>
          <w:iCs/>
          <w:lang w:val="en-GB"/>
        </w:rPr>
        <w:t>p</w:t>
      </w:r>
      <w:r w:rsidRPr="00E967CF">
        <w:rPr>
          <w:lang w:val="en-GB"/>
        </w:rPr>
        <w:t xml:space="preserve"> &lt; 0.001; </w:t>
      </w:r>
      <w:r w:rsidRPr="00E967CF">
        <w:rPr>
          <w:b/>
          <w:bCs/>
          <w:lang w:val="en-GB"/>
        </w:rPr>
        <w:t xml:space="preserve">Fig. </w:t>
      </w:r>
      <w:r w:rsidR="001A548E" w:rsidRPr="00E967CF">
        <w:rPr>
          <w:b/>
          <w:bCs/>
          <w:lang w:val="en-GB"/>
        </w:rPr>
        <w:t>5</w:t>
      </w:r>
      <w:r w:rsidRPr="00E967CF">
        <w:rPr>
          <w:b/>
          <w:bCs/>
          <w:lang w:val="en-GB"/>
        </w:rPr>
        <w:t>D</w:t>
      </w:r>
      <w:r w:rsidRPr="00E967CF">
        <w:rPr>
          <w:lang w:val="en-GB"/>
        </w:rPr>
        <w:t xml:space="preserve">), but with </w:t>
      </w:r>
      <w:r w:rsidR="005D4C1D" w:rsidRPr="00E967CF">
        <w:rPr>
          <w:lang w:val="en-GB"/>
        </w:rPr>
        <w:t xml:space="preserve">a </w:t>
      </w:r>
      <w:r w:rsidRPr="00E967CF">
        <w:rPr>
          <w:lang w:val="en-GB"/>
        </w:rPr>
        <w:t>coefficient</w:t>
      </w:r>
      <w:r w:rsidR="005D4C1D" w:rsidRPr="00E967CF">
        <w:rPr>
          <w:lang w:val="en-GB"/>
        </w:rPr>
        <w:t xml:space="preserve"> larger </w:t>
      </w:r>
      <w:r w:rsidR="005B1B71" w:rsidRPr="00E967CF">
        <w:rPr>
          <w:lang w:val="en-GB"/>
        </w:rPr>
        <w:t xml:space="preserve">in </w:t>
      </w:r>
      <w:r w:rsidR="005D4C1D" w:rsidRPr="00E967CF">
        <w:rPr>
          <w:lang w:val="en-GB"/>
        </w:rPr>
        <w:t>magnitude</w:t>
      </w:r>
      <w:r w:rsidRPr="00E967CF">
        <w:rPr>
          <w:lang w:val="en-GB"/>
        </w:rPr>
        <w:t xml:space="preserve"> than</w:t>
      </w:r>
      <w:r w:rsidR="00643D5C" w:rsidRPr="00E967CF">
        <w:rPr>
          <w:lang w:val="en-GB"/>
        </w:rPr>
        <w:t xml:space="preserve"> that of</w:t>
      </w:r>
      <w:r w:rsidRPr="00E967CF">
        <w:rPr>
          <w:lang w:val="en-GB"/>
        </w:rPr>
        <w:t xml:space="preserve"> </w:t>
      </w:r>
      <w:r w:rsidRPr="00E967CF">
        <w:rPr>
          <w:i/>
          <w:iCs/>
          <w:lang w:val="en-GB"/>
        </w:rPr>
        <w:t>m</w:t>
      </w:r>
      <w:r w:rsidRPr="00E967CF">
        <w:rPr>
          <w:lang w:val="en-GB"/>
        </w:rPr>
        <w:t xml:space="preserve">. This </w:t>
      </w:r>
      <w:r w:rsidR="00DF3DC1" w:rsidRPr="00E967CF">
        <w:rPr>
          <w:lang w:val="en-GB"/>
        </w:rPr>
        <w:t xml:space="preserve">disproportionately large </w:t>
      </w:r>
      <w:r w:rsidRPr="00E967CF">
        <w:rPr>
          <w:lang w:val="en-GB"/>
        </w:rPr>
        <w:t xml:space="preserve">response is consistent with the </w:t>
      </w:r>
      <w:r w:rsidR="0032319A" w:rsidRPr="00E967CF">
        <w:rPr>
          <w:lang w:val="en-GB"/>
        </w:rPr>
        <w:t>summation</w:t>
      </w:r>
      <w:r w:rsidRPr="00E967CF">
        <w:rPr>
          <w:lang w:val="en-GB"/>
        </w:rPr>
        <w:t xml:space="preserve"> of two effect</w:t>
      </w:r>
      <w:r w:rsidR="00D81339" w:rsidRPr="00E967CF">
        <w:rPr>
          <w:lang w:val="en-GB"/>
        </w:rPr>
        <w:t>s</w:t>
      </w:r>
      <w:r w:rsidRPr="00E967CF">
        <w:rPr>
          <w:lang w:val="en-GB"/>
        </w:rPr>
        <w:t>:</w:t>
      </w:r>
      <w:r w:rsidR="00673A77" w:rsidRPr="00E967CF">
        <w:rPr>
          <w:lang w:val="en-GB"/>
        </w:rPr>
        <w:t xml:space="preserve"> (i)</w:t>
      </w:r>
      <w:r w:rsidRPr="00E967CF">
        <w:rPr>
          <w:lang w:val="en-GB"/>
        </w:rPr>
        <w:t xml:space="preserve"> the true physiological signal (</w:t>
      </w:r>
      <w:r w:rsidR="000F08A9" w:rsidRPr="00E967CF">
        <w:rPr>
          <w:lang w:val="en-GB"/>
        </w:rPr>
        <w:t>lower</w:t>
      </w:r>
      <w:r w:rsidRPr="00E967CF">
        <w:rPr>
          <w:lang w:val="en-GB"/>
        </w:rPr>
        <w:t xml:space="preserve"> </w:t>
      </w:r>
      <w:r w:rsidRPr="00E967CF">
        <w:rPr>
          <w:i/>
          <w:iCs/>
          <w:lang w:val="en-GB"/>
        </w:rPr>
        <w:t>m</w:t>
      </w:r>
      <w:r w:rsidRPr="00E967CF">
        <w:rPr>
          <w:lang w:val="en-GB"/>
        </w:rPr>
        <w:t xml:space="preserve"> at </w:t>
      </w:r>
      <w:r w:rsidR="000F08A9" w:rsidRPr="00E967CF">
        <w:rPr>
          <w:lang w:val="en-GB"/>
        </w:rPr>
        <w:t>higher</w:t>
      </w:r>
      <w:r w:rsidRPr="00E967CF">
        <w:rPr>
          <w:lang w:val="en-GB"/>
        </w:rPr>
        <w:t xml:space="preserve"> glucose)</w:t>
      </w:r>
      <w:r w:rsidR="00673A77" w:rsidRPr="00E967CF">
        <w:rPr>
          <w:lang w:val="en-GB"/>
        </w:rPr>
        <w:t xml:space="preserve"> </w:t>
      </w:r>
      <w:r w:rsidRPr="00E967CF">
        <w:rPr>
          <w:lang w:val="en-GB"/>
        </w:rPr>
        <w:t>and</w:t>
      </w:r>
      <w:r w:rsidR="00673A77" w:rsidRPr="00E967CF">
        <w:rPr>
          <w:lang w:val="en-GB"/>
        </w:rPr>
        <w:t xml:space="preserve"> (ii)</w:t>
      </w:r>
      <w:r w:rsidRPr="00E967CF">
        <w:rPr>
          <w:lang w:val="en-GB"/>
        </w:rPr>
        <w:t xml:space="preserve"> </w:t>
      </w:r>
      <w:r w:rsidR="00D81339" w:rsidRPr="00E967CF">
        <w:rPr>
          <w:lang w:val="en-GB"/>
        </w:rPr>
        <w:t>a Type P</w:t>
      </w:r>
      <w:r w:rsidR="00D81339" w:rsidRPr="00E967CF">
        <w:rPr>
          <w:i/>
          <w:iCs/>
          <w:vertAlign w:val="subscript"/>
          <w:lang w:val="en-GB"/>
        </w:rPr>
        <w:t>b</w:t>
      </w:r>
      <w:r w:rsidRPr="00E967CF">
        <w:rPr>
          <w:lang w:val="en-GB"/>
        </w:rPr>
        <w:t xml:space="preserve"> </w:t>
      </w:r>
      <w:r w:rsidR="00DF3DC1" w:rsidRPr="00E967CF">
        <w:rPr>
          <w:lang w:val="en-GB"/>
        </w:rPr>
        <w:t xml:space="preserve">(72.2% of segments) </w:t>
      </w:r>
      <w:r w:rsidRPr="00E967CF">
        <w:rPr>
          <w:lang w:val="en-GB"/>
        </w:rPr>
        <w:t>substrate-dependent artefact (</w:t>
      </w:r>
      <w:r w:rsidR="00EF6FFA" w:rsidRPr="00E967CF">
        <w:rPr>
          <w:lang w:val="en-GB"/>
        </w:rPr>
        <w:t>higher</w:t>
      </w:r>
      <w:r w:rsidRPr="00E967CF">
        <w:rPr>
          <w:lang w:val="en-GB"/>
        </w:rPr>
        <w:t xml:space="preserve"> glucose → </w:t>
      </w:r>
      <w:r w:rsidR="00EF6FFA" w:rsidRPr="00E967CF">
        <w:rPr>
          <w:lang w:val="en-GB"/>
        </w:rPr>
        <w:t>higher</w:t>
      </w:r>
      <w:r w:rsidRPr="00E967CF">
        <w:rPr>
          <w:lang w:val="en-GB"/>
        </w:rPr>
        <w:t xml:space="preserve"> pyruvate → </w:t>
      </w:r>
      <w:r w:rsidR="003E0E51" w:rsidRPr="00E967CF">
        <w:rPr>
          <w:lang w:val="en-GB"/>
        </w:rPr>
        <w:t>deflated</w:t>
      </w:r>
      <w:r w:rsidRPr="00E967CF">
        <w:rPr>
          <w:lang w:val="en-GB"/>
        </w:rPr>
        <w:t xml:space="preserve"> </w:t>
      </w:r>
      <w:r w:rsidR="00EF6FFA" w:rsidRPr="00E967CF">
        <w:rPr>
          <w:vertAlign w:val="superscript"/>
          <w:lang w:val="en-GB"/>
        </w:rPr>
        <w:t>+</w:t>
      </w:r>
      <w:r w:rsidRPr="00E967CF">
        <w:rPr>
          <w:i/>
          <w:iCs/>
          <w:lang w:val="en-GB"/>
        </w:rPr>
        <w:t>b</w:t>
      </w:r>
      <w:r w:rsidRPr="00E967CF">
        <w:rPr>
          <w:lang w:val="en-GB"/>
        </w:rPr>
        <w:t xml:space="preserve">/P term → </w:t>
      </w:r>
      <w:r w:rsidR="00F7062D" w:rsidRPr="00E967CF">
        <w:rPr>
          <w:lang w:val="en-GB"/>
        </w:rPr>
        <w:t>further</w:t>
      </w:r>
      <w:r w:rsidRPr="00E967CF">
        <w:rPr>
          <w:lang w:val="en-GB"/>
        </w:rPr>
        <w:t xml:space="preserve"> LPR</w:t>
      </w:r>
      <w:r w:rsidR="003E0E51" w:rsidRPr="00E967CF">
        <w:rPr>
          <w:lang w:val="en-GB"/>
        </w:rPr>
        <w:t xml:space="preserve"> deflation</w:t>
      </w:r>
      <w:r w:rsidR="00C444D6" w:rsidRPr="00E967CF">
        <w:rPr>
          <w:lang w:val="en-GB"/>
        </w:rPr>
        <w:t>)</w:t>
      </w:r>
      <w:r w:rsidRPr="00E967CF">
        <w:rPr>
          <w:lang w:val="en-GB"/>
        </w:rPr>
        <w:t xml:space="preserve">. Thus, while both </w:t>
      </w:r>
      <w:r w:rsidRPr="00E967CF">
        <w:rPr>
          <w:i/>
          <w:iCs/>
          <w:lang w:val="en-GB"/>
        </w:rPr>
        <w:t>m</w:t>
      </w:r>
      <w:r w:rsidRPr="00E967CF">
        <w:rPr>
          <w:lang w:val="en-GB"/>
        </w:rPr>
        <w:t xml:space="preserve"> and LPR decrease with increasing glucose, the LPR's response conflates the </w:t>
      </w:r>
      <w:r w:rsidR="00A71617" w:rsidRPr="00E967CF">
        <w:rPr>
          <w:lang w:val="en-GB"/>
        </w:rPr>
        <w:t>anaerobic</w:t>
      </w:r>
      <w:r w:rsidRPr="00E967CF">
        <w:rPr>
          <w:lang w:val="en-GB"/>
        </w:rPr>
        <w:t xml:space="preserve"> signal with the intercept-</w:t>
      </w:r>
      <w:r w:rsidR="0051619C" w:rsidRPr="00E967CF">
        <w:rPr>
          <w:lang w:val="en-GB"/>
        </w:rPr>
        <w:t>dependent</w:t>
      </w:r>
      <w:r w:rsidRPr="00E967CF">
        <w:rPr>
          <w:lang w:val="en-GB"/>
        </w:rPr>
        <w:t xml:space="preserve"> artefact, whereas </w:t>
      </w:r>
      <w:r w:rsidRPr="00E967CF">
        <w:rPr>
          <w:i/>
          <w:iCs/>
          <w:lang w:val="en-GB"/>
        </w:rPr>
        <w:t>m</w:t>
      </w:r>
      <w:r w:rsidRPr="00E967CF">
        <w:rPr>
          <w:lang w:val="en-GB"/>
        </w:rPr>
        <w:t xml:space="preserve"> isolates the physiological relationship.</w:t>
      </w:r>
    </w:p>
    <w:p w14:paraId="0228B104" w14:textId="7D6F551D" w:rsidR="00703170" w:rsidRPr="00E967CF" w:rsidRDefault="00703170" w:rsidP="00703170">
      <w:pPr>
        <w:pStyle w:val="Heading2"/>
        <w:rPr>
          <w:lang w:val="en-GB"/>
        </w:rPr>
      </w:pPr>
      <w:bookmarkStart w:id="29" w:name="_Hlk221539032"/>
      <w:r w:rsidRPr="00E967CF">
        <w:rPr>
          <w:lang w:val="en-GB"/>
        </w:rPr>
        <w:t>3.</w:t>
      </w:r>
      <w:r w:rsidR="001F02B8" w:rsidRPr="00E967CF">
        <w:rPr>
          <w:lang w:val="en-GB"/>
        </w:rPr>
        <w:t>6</w:t>
      </w:r>
      <w:r w:rsidRPr="00E967CF">
        <w:rPr>
          <w:lang w:val="en-GB"/>
        </w:rPr>
        <w:t xml:space="preserve"> </w:t>
      </w:r>
      <w:r w:rsidR="002439B0" w:rsidRPr="00E967CF">
        <w:rPr>
          <w:lang w:val="en-GB"/>
        </w:rPr>
        <w:t>Outcome association</w:t>
      </w:r>
    </w:p>
    <w:p w14:paraId="46982CE7" w14:textId="6760105D" w:rsidR="006F31F1" w:rsidRPr="00E967CF" w:rsidRDefault="003B50FE" w:rsidP="00963E02">
      <w:pPr>
        <w:rPr>
          <w:lang w:val="en-GB"/>
        </w:rPr>
      </w:pPr>
      <w:r w:rsidRPr="00E967CF">
        <w:rPr>
          <w:lang w:val="en-GB"/>
        </w:rPr>
        <w:t>Additionally, we</w:t>
      </w:r>
      <w:r w:rsidR="00963E02" w:rsidRPr="00E967CF">
        <w:rPr>
          <w:lang w:val="en-GB"/>
        </w:rPr>
        <w:t xml:space="preserve"> tested whether the linear parameters are associated with 6-month functional outcome using the Glasgow Outcome Scale-Extended (GOSE), </w:t>
      </w:r>
      <w:r w:rsidR="00653A5D" w:rsidRPr="00E967CF">
        <w:rPr>
          <w:lang w:val="en-GB"/>
        </w:rPr>
        <w:t>summari</w:t>
      </w:r>
      <w:r w:rsidR="00164BDC" w:rsidRPr="00E967CF">
        <w:rPr>
          <w:lang w:val="en-GB"/>
        </w:rPr>
        <w:t>se</w:t>
      </w:r>
      <w:r w:rsidR="00653A5D" w:rsidRPr="00E967CF">
        <w:rPr>
          <w:lang w:val="en-GB"/>
        </w:rPr>
        <w:t>d</w:t>
      </w:r>
      <w:r w:rsidR="00963E02" w:rsidRPr="00E967CF">
        <w:rPr>
          <w:lang w:val="en-GB"/>
        </w:rPr>
        <w:t xml:space="preserve"> into four categories: Death (</w:t>
      </w:r>
      <w:r w:rsidR="00EC260C" w:rsidRPr="00E967CF">
        <w:rPr>
          <w:lang w:val="en-GB"/>
        </w:rPr>
        <w:t xml:space="preserve">GOSE 1; </w:t>
      </w:r>
      <w:r w:rsidR="00963E02" w:rsidRPr="00E967CF">
        <w:rPr>
          <w:lang w:val="en-GB"/>
        </w:rPr>
        <w:t>87 patients, 217 segments), Severe disability (</w:t>
      </w:r>
      <w:r w:rsidR="00B0443F" w:rsidRPr="00E967CF">
        <w:rPr>
          <w:lang w:val="en-GB"/>
        </w:rPr>
        <w:t xml:space="preserve">GOSE 2–4; </w:t>
      </w:r>
      <w:r w:rsidR="00963E02" w:rsidRPr="00E967CF">
        <w:rPr>
          <w:lang w:val="en-GB"/>
        </w:rPr>
        <w:t>117 patients, 310 segments), Moderate disability (</w:t>
      </w:r>
      <w:r w:rsidR="00332381" w:rsidRPr="00E967CF">
        <w:rPr>
          <w:lang w:val="en-GB"/>
        </w:rPr>
        <w:t xml:space="preserve">GOSE 5–6; </w:t>
      </w:r>
      <w:r w:rsidR="00963E02" w:rsidRPr="00E967CF">
        <w:rPr>
          <w:lang w:val="en-GB"/>
        </w:rPr>
        <w:t>160 patients, 423 segments), and Good recovery (</w:t>
      </w:r>
      <w:r w:rsidR="000412A8" w:rsidRPr="00E967CF">
        <w:rPr>
          <w:lang w:val="en-GB"/>
        </w:rPr>
        <w:t xml:space="preserve">GOSE 7–8; </w:t>
      </w:r>
      <w:r w:rsidR="00963E02" w:rsidRPr="00E967CF">
        <w:rPr>
          <w:lang w:val="en-GB"/>
        </w:rPr>
        <w:t>112 patients, 305 segments).</w:t>
      </w:r>
    </w:p>
    <w:p w14:paraId="7B75984A" w14:textId="60E3197C" w:rsidR="0097270D" w:rsidRPr="00E967CF" w:rsidRDefault="0097270D" w:rsidP="0097270D">
      <w:pPr>
        <w:rPr>
          <w:lang w:val="en-GB"/>
        </w:rPr>
      </w:pPr>
      <w:bookmarkStart w:id="30" w:name="_Hlk222784475"/>
      <w:r w:rsidRPr="00E967CF">
        <w:rPr>
          <w:lang w:val="en-GB"/>
        </w:rPr>
        <w:t xml:space="preserve">The EMMs </w:t>
      </w:r>
      <w:r w:rsidR="00FE2225" w:rsidRPr="00E967CF">
        <w:rPr>
          <w:lang w:val="en-GB"/>
        </w:rPr>
        <w:t xml:space="preserve">for each outcome group </w:t>
      </w:r>
      <w:r w:rsidRPr="00E967CF">
        <w:rPr>
          <w:lang w:val="en-GB"/>
        </w:rPr>
        <w:t xml:space="preserve">are shown in </w:t>
      </w:r>
      <w:r w:rsidRPr="00E967CF">
        <w:rPr>
          <w:b/>
          <w:bCs/>
          <w:lang w:val="en-GB"/>
        </w:rPr>
        <w:t xml:space="preserve">Fig. </w:t>
      </w:r>
      <w:r w:rsidR="001A548E" w:rsidRPr="00E967CF">
        <w:rPr>
          <w:b/>
          <w:bCs/>
          <w:lang w:val="en-GB"/>
        </w:rPr>
        <w:t>6</w:t>
      </w:r>
      <w:r w:rsidR="008A57BB" w:rsidRPr="00E967CF">
        <w:rPr>
          <w:b/>
          <w:bCs/>
          <w:lang w:val="en-GB"/>
        </w:rPr>
        <w:t>A</w:t>
      </w:r>
      <w:r w:rsidR="008A57BB" w:rsidRPr="00E967CF">
        <w:rPr>
          <w:lang w:val="en-GB"/>
        </w:rPr>
        <w:t>–</w:t>
      </w:r>
      <w:r w:rsidR="008A57BB" w:rsidRPr="00E967CF">
        <w:rPr>
          <w:b/>
          <w:bCs/>
          <w:lang w:val="en-GB"/>
        </w:rPr>
        <w:t>C</w:t>
      </w:r>
      <w:r w:rsidRPr="00E967CF">
        <w:rPr>
          <w:lang w:val="en-GB"/>
        </w:rPr>
        <w:t>. Validating established literature,</w:t>
      </w:r>
      <w:r w:rsidRPr="00E967CF">
        <w:rPr>
          <w:vertAlign w:val="superscript"/>
          <w:lang w:val="en-GB"/>
        </w:rPr>
        <w:t>3,10</w:t>
      </w:r>
      <w:r w:rsidRPr="00E967CF">
        <w:rPr>
          <w:lang w:val="en-GB"/>
        </w:rPr>
        <w:t xml:space="preserve"> LPR was significantly associated with outcome (linear contrast</w:t>
      </w:r>
      <w:r w:rsidR="00AE00C1">
        <w:rPr>
          <w:lang w:val="en-GB"/>
        </w:rPr>
        <w:t xml:space="preserve"> </w:t>
      </w:r>
      <w:r w:rsidRPr="00E967CF">
        <w:rPr>
          <w:i/>
          <w:iCs/>
          <w:lang w:val="en-GB"/>
        </w:rPr>
        <w:t>p</w:t>
      </w:r>
      <w:r w:rsidRPr="00E967CF">
        <w:rPr>
          <w:lang w:val="en-GB"/>
        </w:rPr>
        <w:t xml:space="preserve"> = 0.030; </w:t>
      </w:r>
      <w:r w:rsidRPr="00E967CF">
        <w:rPr>
          <w:b/>
          <w:bCs/>
          <w:lang w:val="en-GB"/>
        </w:rPr>
        <w:t xml:space="preserve">Fig. </w:t>
      </w:r>
      <w:r w:rsidR="001A548E" w:rsidRPr="00E967CF">
        <w:rPr>
          <w:b/>
          <w:bCs/>
          <w:lang w:val="en-GB"/>
        </w:rPr>
        <w:t>6</w:t>
      </w:r>
      <w:r w:rsidRPr="00E967CF">
        <w:rPr>
          <w:b/>
          <w:bCs/>
          <w:lang w:val="en-GB"/>
        </w:rPr>
        <w:t>A</w:t>
      </w:r>
      <w:r w:rsidRPr="00E967CF">
        <w:rPr>
          <w:lang w:val="en-GB"/>
        </w:rPr>
        <w:t>). However, the LPR–outcome trend was largely driven by the Death group (EMM = 30.2, 95% CI: 27.6–32.8), with the Severe, Moderate, and Good groups clustering closely together (EMMs: 26.0, 26.2, 26.7).</w:t>
      </w:r>
    </w:p>
    <w:bookmarkEnd w:id="30"/>
    <w:p w14:paraId="69605B12" w14:textId="0C02CDE2" w:rsidR="0097270D" w:rsidRPr="00E967CF" w:rsidRDefault="00B6596A" w:rsidP="0097270D">
      <w:pPr>
        <w:rPr>
          <w:lang w:val="en-GB"/>
        </w:rPr>
      </w:pPr>
      <w:r w:rsidRPr="00E967CF">
        <w:rPr>
          <w:lang w:val="en-GB"/>
        </w:rPr>
        <w:t>Crucially, h</w:t>
      </w:r>
      <w:r w:rsidR="0097270D" w:rsidRPr="00E967CF">
        <w:rPr>
          <w:lang w:val="en-GB"/>
        </w:rPr>
        <w:t xml:space="preserve">igher values of the </w:t>
      </w:r>
      <w:r w:rsidR="005979B7" w:rsidRPr="00E967CF">
        <w:rPr>
          <w:lang w:val="en-GB"/>
        </w:rPr>
        <w:t>gradient</w:t>
      </w:r>
      <w:r w:rsidR="0097270D" w:rsidRPr="00E967CF">
        <w:rPr>
          <w:lang w:val="en-GB"/>
        </w:rPr>
        <w:t xml:space="preserve"> (</w:t>
      </w:r>
      <w:r w:rsidR="0097270D" w:rsidRPr="00E967CF">
        <w:rPr>
          <w:i/>
          <w:iCs/>
          <w:lang w:val="en-GB"/>
        </w:rPr>
        <w:t>m</w:t>
      </w:r>
      <w:r w:rsidR="0097270D" w:rsidRPr="00E967CF">
        <w:rPr>
          <w:lang w:val="en-GB"/>
        </w:rPr>
        <w:t>) were also significantly associated with worse outcome (linear contras</w:t>
      </w:r>
      <w:r w:rsidR="00CA30B9">
        <w:rPr>
          <w:lang w:val="en-GB"/>
        </w:rPr>
        <w:t>t</w:t>
      </w:r>
      <w:r w:rsidR="0097270D" w:rsidRPr="00E967CF">
        <w:rPr>
          <w:lang w:val="en-GB"/>
        </w:rPr>
        <w:t xml:space="preserve"> </w:t>
      </w:r>
      <w:r w:rsidR="0097270D" w:rsidRPr="00E967CF">
        <w:rPr>
          <w:i/>
          <w:iCs/>
          <w:lang w:val="en-GB"/>
        </w:rPr>
        <w:t>p</w:t>
      </w:r>
      <w:r w:rsidR="0097270D" w:rsidRPr="00E967CF">
        <w:rPr>
          <w:lang w:val="en-GB"/>
        </w:rPr>
        <w:t xml:space="preserve"> = 0.039; </w:t>
      </w:r>
      <w:r w:rsidR="0097270D" w:rsidRPr="00E967CF">
        <w:rPr>
          <w:b/>
          <w:bCs/>
          <w:lang w:val="en-GB"/>
        </w:rPr>
        <w:t xml:space="preserve">Fig. </w:t>
      </w:r>
      <w:r w:rsidR="001A548E" w:rsidRPr="00E967CF">
        <w:rPr>
          <w:b/>
          <w:bCs/>
          <w:lang w:val="en-GB"/>
        </w:rPr>
        <w:t>6</w:t>
      </w:r>
      <w:r w:rsidR="0097270D" w:rsidRPr="00E967CF">
        <w:rPr>
          <w:b/>
          <w:bCs/>
          <w:lang w:val="en-GB"/>
        </w:rPr>
        <w:t>B</w:t>
      </w:r>
      <w:r w:rsidR="0097270D" w:rsidRPr="00E967CF">
        <w:rPr>
          <w:lang w:val="en-GB"/>
        </w:rPr>
        <w:t xml:space="preserve">), but unlike the LPR, the </w:t>
      </w:r>
      <w:r w:rsidR="005979B7" w:rsidRPr="00E967CF">
        <w:rPr>
          <w:lang w:val="en-GB"/>
        </w:rPr>
        <w:t>gradient</w:t>
      </w:r>
      <w:r w:rsidR="0097270D" w:rsidRPr="00E967CF">
        <w:rPr>
          <w:lang w:val="en-GB"/>
        </w:rPr>
        <w:t xml:space="preserve"> showed a consistent monotonic gradient across all four outcome categories, decreasing from 22.1 (95% CI: 20.6–23.6) in the Death group to 20.3 (95% CI: 19.0–21.5) in the Good recovery group. This graded relationship supports the clinical relevance of the </w:t>
      </w:r>
      <w:r w:rsidR="005979B7" w:rsidRPr="00E967CF">
        <w:rPr>
          <w:lang w:val="en-GB"/>
        </w:rPr>
        <w:t>gradient</w:t>
      </w:r>
      <w:r w:rsidR="0097270D" w:rsidRPr="00E967CF">
        <w:rPr>
          <w:lang w:val="en-GB"/>
        </w:rPr>
        <w:t xml:space="preserve">: segments belonging </w:t>
      </w:r>
      <w:r w:rsidR="0097270D" w:rsidRPr="00E967CF">
        <w:rPr>
          <w:lang w:val="en-GB"/>
        </w:rPr>
        <w:lastRenderedPageBreak/>
        <w:t>to patients with worse neurological outcomes were characteri</w:t>
      </w:r>
      <w:r w:rsidR="00A72555">
        <w:rPr>
          <w:lang w:val="en-GB"/>
        </w:rPr>
        <w:t>s</w:t>
      </w:r>
      <w:r w:rsidR="0097270D" w:rsidRPr="00E967CF">
        <w:rPr>
          <w:lang w:val="en-GB"/>
        </w:rPr>
        <w:t xml:space="preserve">ed by steeper lactate–pyruvate </w:t>
      </w:r>
      <w:r w:rsidR="005979B7" w:rsidRPr="00E967CF">
        <w:rPr>
          <w:lang w:val="en-GB"/>
        </w:rPr>
        <w:t>gradient</w:t>
      </w:r>
      <w:r w:rsidR="0097270D" w:rsidRPr="00E967CF">
        <w:rPr>
          <w:lang w:val="en-GB"/>
        </w:rPr>
        <w:t>s, indicating higher levels of anaerobic cerebral metabolism.</w:t>
      </w:r>
    </w:p>
    <w:p w14:paraId="0884472E" w14:textId="276EBCF2" w:rsidR="00EC06FB" w:rsidRPr="00E967CF" w:rsidRDefault="0097270D" w:rsidP="0097270D">
      <w:pPr>
        <w:rPr>
          <w:lang w:val="en-GB"/>
        </w:rPr>
      </w:pPr>
      <w:r w:rsidRPr="00E967CF">
        <w:rPr>
          <w:lang w:val="en-GB"/>
        </w:rPr>
        <w:t>The intercept (</w:t>
      </w:r>
      <w:r w:rsidRPr="00E967CF">
        <w:rPr>
          <w:i/>
          <w:iCs/>
          <w:lang w:val="en-GB"/>
        </w:rPr>
        <w:t>b</w:t>
      </w:r>
      <w:r w:rsidRPr="00E967CF">
        <w:rPr>
          <w:lang w:val="en-GB"/>
        </w:rPr>
        <w:t xml:space="preserve">) showed no significant association with outcome (linear contrast </w:t>
      </w:r>
      <w:r w:rsidRPr="00E967CF">
        <w:rPr>
          <w:i/>
          <w:iCs/>
          <w:lang w:val="en-GB"/>
        </w:rPr>
        <w:t>p</w:t>
      </w:r>
      <w:r w:rsidRPr="00E967CF">
        <w:rPr>
          <w:lang w:val="en-GB"/>
        </w:rPr>
        <w:t xml:space="preserve"> = 0.806; </w:t>
      </w:r>
      <w:r w:rsidRPr="00E967CF">
        <w:rPr>
          <w:b/>
          <w:bCs/>
          <w:lang w:val="en-GB"/>
        </w:rPr>
        <w:t xml:space="preserve">Fig. </w:t>
      </w:r>
      <w:r w:rsidR="001A548E" w:rsidRPr="00E967CF">
        <w:rPr>
          <w:b/>
          <w:bCs/>
          <w:lang w:val="en-GB"/>
        </w:rPr>
        <w:t>6</w:t>
      </w:r>
      <w:r w:rsidRPr="00E967CF">
        <w:rPr>
          <w:b/>
          <w:bCs/>
          <w:lang w:val="en-GB"/>
        </w:rPr>
        <w:t>C</w:t>
      </w:r>
      <w:r w:rsidRPr="00E967CF">
        <w:rPr>
          <w:lang w:val="en-GB"/>
        </w:rPr>
        <w:t>), consistent with its role as an empirical adjustment parameter rather than a direct indicator of the underlying LDH-linked metabolic signal.</w:t>
      </w:r>
    </w:p>
    <w:p w14:paraId="0307C5D4" w14:textId="5F01D19A" w:rsidR="003D675E" w:rsidRPr="00E967CF" w:rsidRDefault="003D675E" w:rsidP="003D675E">
      <w:pPr>
        <w:pStyle w:val="Heading2"/>
        <w:rPr>
          <w:lang w:val="en-GB"/>
        </w:rPr>
      </w:pPr>
      <w:r w:rsidRPr="00E967CF">
        <w:rPr>
          <w:lang w:val="en-GB"/>
        </w:rPr>
        <w:t>3.</w:t>
      </w:r>
      <w:r w:rsidR="000120E8" w:rsidRPr="00E967CF">
        <w:rPr>
          <w:lang w:val="en-GB"/>
        </w:rPr>
        <w:t>7</w:t>
      </w:r>
      <w:r w:rsidRPr="00E967CF">
        <w:rPr>
          <w:lang w:val="en-GB"/>
        </w:rPr>
        <w:t xml:space="preserve"> </w:t>
      </w:r>
      <w:r w:rsidR="000120E8" w:rsidRPr="00E967CF">
        <w:rPr>
          <w:lang w:val="en-GB"/>
        </w:rPr>
        <w:t>External validati</w:t>
      </w:r>
      <w:r w:rsidR="00B002B3" w:rsidRPr="00E967CF">
        <w:rPr>
          <w:lang w:val="en-GB"/>
        </w:rPr>
        <w:t>o</w:t>
      </w:r>
      <w:r w:rsidR="000120E8" w:rsidRPr="00E967CF">
        <w:rPr>
          <w:lang w:val="en-GB"/>
        </w:rPr>
        <w:t>n</w:t>
      </w:r>
    </w:p>
    <w:p w14:paraId="4A7A858B" w14:textId="06DAD043" w:rsidR="00B57CE5" w:rsidRPr="00E967CF" w:rsidRDefault="00B57CE5" w:rsidP="00B57CE5">
      <w:pPr>
        <w:rPr>
          <w:lang w:val="en-GB"/>
        </w:rPr>
      </w:pPr>
      <w:bookmarkStart w:id="31" w:name="_Hlk221541231"/>
      <w:r w:rsidRPr="00E967CF">
        <w:rPr>
          <w:lang w:val="en-GB"/>
        </w:rPr>
        <w:t>To assess generali</w:t>
      </w:r>
      <w:r w:rsidR="003964AC">
        <w:rPr>
          <w:lang w:val="en-GB"/>
        </w:rPr>
        <w:t>s</w:t>
      </w:r>
      <w:r w:rsidRPr="00E967CF">
        <w:rPr>
          <w:lang w:val="en-GB"/>
        </w:rPr>
        <w:t>ability, an independent centre (Uppsala University Hospital, Uppsala, Sweden) applied the segmentation pipeline and all downstream analyses to a TBI cohort of 81 patients (8,150 CMD observations; Supplementary materials SM3).</w:t>
      </w:r>
      <w:r w:rsidR="00FC5612" w:rsidRPr="00E967CF">
        <w:rPr>
          <w:lang w:val="en-GB"/>
        </w:rPr>
        <w:t xml:space="preserve"> </w:t>
      </w:r>
      <w:r w:rsidRPr="00E967CF">
        <w:rPr>
          <w:lang w:val="en-GB"/>
        </w:rPr>
        <w:t>The pipeline identified 232 segments, of which 215 (92.7%) were retained (</w:t>
      </w:r>
      <w:r w:rsidRPr="00E967CF">
        <w:rPr>
          <w:i/>
          <w:iCs/>
          <w:lang w:val="en-GB"/>
        </w:rPr>
        <w:t>m</w:t>
      </w:r>
      <w:r w:rsidRPr="00E967CF">
        <w:rPr>
          <w:lang w:val="en-GB"/>
        </w:rPr>
        <w:t xml:space="preserve"> &gt; 0), encompassing 7,781 datapoints (95.5%) across all 81 patients (100%). Each patient had a median of 2 retained segments (IQR 2–3; </w:t>
      </w:r>
      <w:r w:rsidRPr="00E967CF">
        <w:rPr>
          <w:b/>
          <w:bCs/>
          <w:lang w:val="en-GB"/>
        </w:rPr>
        <w:t>Table S</w:t>
      </w:r>
      <w:r w:rsidR="00D16AEC">
        <w:rPr>
          <w:b/>
          <w:bCs/>
          <w:lang w:val="en-GB"/>
        </w:rPr>
        <w:t>4</w:t>
      </w:r>
      <w:r w:rsidRPr="00E967CF">
        <w:rPr>
          <w:lang w:val="en-GB"/>
        </w:rPr>
        <w:t xml:space="preserve">; </w:t>
      </w:r>
      <w:r w:rsidRPr="00E967CF">
        <w:rPr>
          <w:b/>
          <w:bCs/>
          <w:lang w:val="en-GB"/>
        </w:rPr>
        <w:t>Fig. S3</w:t>
      </w:r>
      <w:r w:rsidRPr="00E967CF">
        <w:rPr>
          <w:lang w:val="en-GB"/>
        </w:rPr>
        <w:t>).</w:t>
      </w:r>
    </w:p>
    <w:p w14:paraId="5962039B" w14:textId="77777777" w:rsidR="00B57CE5" w:rsidRPr="00E967CF" w:rsidRDefault="00B57CE5" w:rsidP="00B57CE5">
      <w:pPr>
        <w:rPr>
          <w:lang w:val="en-GB"/>
        </w:rPr>
      </w:pPr>
      <w:r w:rsidRPr="00E967CF">
        <w:rPr>
          <w:lang w:val="en-GB"/>
        </w:rPr>
        <w:t xml:space="preserve">Segment-level Pearson correlations (EMM </w:t>
      </w:r>
      <w:r w:rsidRPr="00E967CF">
        <w:rPr>
          <w:i/>
          <w:iCs/>
          <w:lang w:val="en-GB"/>
        </w:rPr>
        <w:t>r</w:t>
      </w:r>
      <w:r w:rsidRPr="00E967CF">
        <w:rPr>
          <w:lang w:val="en-GB"/>
        </w:rPr>
        <w:t xml:space="preserve"> = 0.83) were significantly higher than patient-level correlations (EMM </w:t>
      </w:r>
      <w:r w:rsidRPr="00E967CF">
        <w:rPr>
          <w:i/>
          <w:iCs/>
          <w:lang w:val="en-GB"/>
        </w:rPr>
        <w:t>r</w:t>
      </w:r>
      <w:r w:rsidRPr="00E967CF">
        <w:rPr>
          <w:lang w:val="en-GB"/>
        </w:rPr>
        <w:t xml:space="preserve"> = 0.80; </w:t>
      </w:r>
      <w:r w:rsidRPr="00E967CF">
        <w:rPr>
          <w:i/>
          <w:iCs/>
          <w:lang w:val="en-GB"/>
        </w:rPr>
        <w:t>p</w:t>
      </w:r>
      <w:r w:rsidRPr="00E967CF">
        <w:rPr>
          <w:lang w:val="en-GB"/>
        </w:rPr>
        <w:t xml:space="preserve"> = 0.015), replicating the Cambridge finding and confirming that segmentation improves the resolution of the linear lactate–pyruvate relationship. The intercept model (L = </w:t>
      </w:r>
      <w:r w:rsidRPr="00E967CF">
        <w:rPr>
          <w:i/>
          <w:iCs/>
          <w:lang w:val="en-GB"/>
        </w:rPr>
        <w:t>m</w:t>
      </w:r>
      <w:r w:rsidRPr="00E967CF">
        <w:rPr>
          <w:lang w:val="en-GB"/>
        </w:rPr>
        <w:t xml:space="preserve">P + </w:t>
      </w:r>
      <w:r w:rsidRPr="00E967CF">
        <w:rPr>
          <w:i/>
          <w:iCs/>
          <w:lang w:val="en-GB"/>
        </w:rPr>
        <w:t>b</w:t>
      </w:r>
      <w:r w:rsidRPr="00E967CF">
        <w:rPr>
          <w:lang w:val="en-GB"/>
        </w:rPr>
        <w:t xml:space="preserve">) significantly outperformed the origin-constrained model (typical ΔAIC = 7.00, 95% CI: 4.85–9.15, </w:t>
      </w:r>
      <w:r w:rsidRPr="00E967CF">
        <w:rPr>
          <w:i/>
          <w:iCs/>
          <w:lang w:val="en-GB"/>
        </w:rPr>
        <w:t>p</w:t>
      </w:r>
      <w:r w:rsidRPr="00E967CF">
        <w:rPr>
          <w:lang w:val="en-GB"/>
        </w:rPr>
        <w:t xml:space="preserve"> &lt; 0.001), with 42.8% of segments showing a clear preference for the unconstrained model (ΔAIC &gt; 2).</w:t>
      </w:r>
    </w:p>
    <w:p w14:paraId="2031308B" w14:textId="51918CBD" w:rsidR="00B57CE5" w:rsidRPr="00E967CF" w:rsidRDefault="00B57CE5" w:rsidP="00B57CE5">
      <w:pPr>
        <w:rPr>
          <w:lang w:val="en-GB"/>
        </w:rPr>
      </w:pPr>
      <w:r w:rsidRPr="00E967CF">
        <w:rPr>
          <w:lang w:val="en-GB"/>
        </w:rPr>
        <w:t xml:space="preserve">Across </w:t>
      </w:r>
      <w:r w:rsidR="004571D4" w:rsidRPr="00E967CF">
        <w:rPr>
          <w:lang w:val="en-GB"/>
        </w:rPr>
        <w:t>the</w:t>
      </w:r>
      <w:r w:rsidRPr="00E967CF">
        <w:rPr>
          <w:lang w:val="en-GB"/>
        </w:rPr>
        <w:t xml:space="preserve"> retained segments, the median </w:t>
      </w:r>
      <w:r w:rsidR="005979B7" w:rsidRPr="00E967CF">
        <w:rPr>
          <w:lang w:val="en-GB"/>
        </w:rPr>
        <w:t>gradient</w:t>
      </w:r>
      <w:r w:rsidRPr="00E967CF">
        <w:rPr>
          <w:lang w:val="en-GB"/>
        </w:rPr>
        <w:t xml:space="preserve"> was 20.16 (IQR: 17.16–24.93), median intercept was 0.12 mM (IQR: -0.15–0.76), and median within-segment R² was 0.66 (IQR: 0.53–0.78). Among the 76 patients with two or more retained segments, the median intra-patient range of </w:t>
      </w:r>
      <w:r w:rsidRPr="00E967CF">
        <w:rPr>
          <w:i/>
          <w:iCs/>
          <w:lang w:val="en-GB"/>
        </w:rPr>
        <w:t>m</w:t>
      </w:r>
      <w:r w:rsidRPr="00E967CF">
        <w:rPr>
          <w:lang w:val="en-GB"/>
        </w:rPr>
        <w:t xml:space="preserve"> was 11.36 (IQR: 5.91–18.23). LPR varied substantially within segments despite stable </w:t>
      </w:r>
      <w:r w:rsidR="005979B7" w:rsidRPr="00E967CF">
        <w:rPr>
          <w:lang w:val="en-GB"/>
        </w:rPr>
        <w:t>gradient</w:t>
      </w:r>
      <w:r w:rsidRPr="00E967CF">
        <w:rPr>
          <w:lang w:val="en-GB"/>
        </w:rPr>
        <w:t xml:space="preserve">s (median within-segment LPR range: 10.4, IQR: 7.4–14.3; </w:t>
      </w:r>
      <w:r w:rsidRPr="00E967CF">
        <w:rPr>
          <w:b/>
          <w:bCs/>
          <w:lang w:val="en-GB"/>
        </w:rPr>
        <w:t>Table S</w:t>
      </w:r>
      <w:r w:rsidR="00D16AEC">
        <w:rPr>
          <w:b/>
          <w:bCs/>
          <w:lang w:val="en-GB"/>
        </w:rPr>
        <w:t>5</w:t>
      </w:r>
      <w:r w:rsidRPr="00E967CF">
        <w:rPr>
          <w:lang w:val="en-GB"/>
        </w:rPr>
        <w:t>).</w:t>
      </w:r>
    </w:p>
    <w:p w14:paraId="1A20192B" w14:textId="76E7826B" w:rsidR="00B57CE5" w:rsidRPr="00E967CF" w:rsidRDefault="00B57CE5" w:rsidP="00B57CE5">
      <w:pPr>
        <w:rPr>
          <w:lang w:val="en-GB"/>
        </w:rPr>
      </w:pPr>
      <w:r w:rsidRPr="00E967CF">
        <w:rPr>
          <w:lang w:val="en-GB"/>
        </w:rPr>
        <w:t>The within-segment hyperbolic LPR–glucose association was significant in Type P</w:t>
      </w:r>
      <w:r w:rsidRPr="00E967CF">
        <w:rPr>
          <w:i/>
          <w:iCs/>
          <w:vertAlign w:val="subscript"/>
          <w:lang w:val="en-GB"/>
        </w:rPr>
        <w:t>b</w:t>
      </w:r>
      <w:r w:rsidRPr="00E967CF">
        <w:rPr>
          <w:lang w:val="en-GB"/>
        </w:rPr>
        <w:t xml:space="preserve"> segments (</w:t>
      </w:r>
      <w:r w:rsidRPr="00E967CF">
        <w:rPr>
          <w:i/>
          <w:iCs/>
          <w:lang w:val="en-GB"/>
        </w:rPr>
        <w:t>p</w:t>
      </w:r>
      <w:r w:rsidRPr="00E967CF">
        <w:rPr>
          <w:lang w:val="en-GB"/>
        </w:rPr>
        <w:t xml:space="preserve"> &lt; 0.001</w:t>
      </w:r>
      <w:r w:rsidR="006B2203" w:rsidRPr="00E967CF">
        <w:rPr>
          <w:lang w:val="en-GB"/>
        </w:rPr>
        <w:t xml:space="preserve">; </w:t>
      </w:r>
      <w:r w:rsidR="006B2203" w:rsidRPr="00E967CF">
        <w:rPr>
          <w:b/>
          <w:bCs/>
          <w:lang w:val="en-GB"/>
        </w:rPr>
        <w:t xml:space="preserve">Fig. </w:t>
      </w:r>
      <w:r w:rsidR="001A548E" w:rsidRPr="00E967CF">
        <w:rPr>
          <w:b/>
          <w:bCs/>
          <w:lang w:val="en-GB"/>
        </w:rPr>
        <w:t>5</w:t>
      </w:r>
      <w:r w:rsidR="00285CCE" w:rsidRPr="00E967CF">
        <w:rPr>
          <w:b/>
          <w:bCs/>
          <w:lang w:val="en-GB"/>
        </w:rPr>
        <w:t>E</w:t>
      </w:r>
      <w:r w:rsidRPr="00E967CF">
        <w:rPr>
          <w:lang w:val="en-GB"/>
        </w:rPr>
        <w:t>) but did not reach significance in Type N</w:t>
      </w:r>
      <w:r w:rsidRPr="00E967CF">
        <w:rPr>
          <w:i/>
          <w:iCs/>
          <w:vertAlign w:val="subscript"/>
          <w:lang w:val="en-GB"/>
        </w:rPr>
        <w:t>b</w:t>
      </w:r>
      <w:r w:rsidRPr="00E967CF">
        <w:rPr>
          <w:lang w:val="en-GB"/>
        </w:rPr>
        <w:t xml:space="preserve"> segments (</w:t>
      </w:r>
      <w:r w:rsidRPr="00E967CF">
        <w:rPr>
          <w:i/>
          <w:iCs/>
          <w:lang w:val="en-GB"/>
        </w:rPr>
        <w:t>p</w:t>
      </w:r>
      <w:r w:rsidRPr="00E967CF">
        <w:rPr>
          <w:lang w:val="en-GB"/>
        </w:rPr>
        <w:t xml:space="preserve"> = 0.090</w:t>
      </w:r>
      <w:r w:rsidR="006B2203" w:rsidRPr="00E967CF">
        <w:rPr>
          <w:lang w:val="en-GB"/>
        </w:rPr>
        <w:t xml:space="preserve">; </w:t>
      </w:r>
      <w:r w:rsidR="006B2203" w:rsidRPr="00E967CF">
        <w:rPr>
          <w:b/>
          <w:bCs/>
          <w:lang w:val="en-GB"/>
        </w:rPr>
        <w:t xml:space="preserve">Fig. </w:t>
      </w:r>
      <w:r w:rsidR="001A548E" w:rsidRPr="00E967CF">
        <w:rPr>
          <w:b/>
          <w:bCs/>
          <w:lang w:val="en-GB"/>
        </w:rPr>
        <w:t>5</w:t>
      </w:r>
      <w:r w:rsidR="00285CCE" w:rsidRPr="00E967CF">
        <w:rPr>
          <w:b/>
          <w:bCs/>
          <w:lang w:val="en-GB"/>
        </w:rPr>
        <w:t>F</w:t>
      </w:r>
      <w:r w:rsidRPr="00E967CF">
        <w:rPr>
          <w:lang w:val="en-GB"/>
        </w:rPr>
        <w:t xml:space="preserve">). </w:t>
      </w:r>
      <w:r w:rsidR="00F217FF" w:rsidRPr="00E967CF">
        <w:rPr>
          <w:lang w:val="en-GB"/>
        </w:rPr>
        <w:t xml:space="preserve">Glucose was positively associated with pyruvate (β = 16.38 µM/mM, </w:t>
      </w:r>
      <w:r w:rsidR="00F217FF" w:rsidRPr="00E967CF">
        <w:rPr>
          <w:i/>
          <w:iCs/>
          <w:lang w:val="en-GB"/>
        </w:rPr>
        <w:t>p</w:t>
      </w:r>
      <w:r w:rsidR="00F217FF" w:rsidRPr="00E967CF">
        <w:rPr>
          <w:lang w:val="en-GB"/>
        </w:rPr>
        <w:t xml:space="preserve"> &lt; 0.001; residual SD = 28.3 µM). </w:t>
      </w:r>
      <w:r w:rsidR="000F15C3" w:rsidRPr="00E967CF">
        <w:rPr>
          <w:lang w:val="en-GB"/>
        </w:rPr>
        <w:t xml:space="preserve">The segment-level association between LPR and </w:t>
      </w:r>
      <w:r w:rsidR="000F15C3" w:rsidRPr="00E967CF">
        <w:rPr>
          <w:i/>
          <w:iCs/>
          <w:lang w:val="en-GB"/>
        </w:rPr>
        <w:t>m</w:t>
      </w:r>
      <w:r w:rsidR="000F15C3" w:rsidRPr="00E967CF">
        <w:rPr>
          <w:lang w:val="en-GB"/>
        </w:rPr>
        <w:t xml:space="preserve"> (β = 0.140, </w:t>
      </w:r>
      <w:r w:rsidR="000F15C3" w:rsidRPr="00E967CF">
        <w:rPr>
          <w:i/>
          <w:iCs/>
          <w:lang w:val="en-GB"/>
        </w:rPr>
        <w:t>p</w:t>
      </w:r>
      <w:r w:rsidR="000F15C3" w:rsidRPr="00E967CF">
        <w:rPr>
          <w:lang w:val="en-GB"/>
        </w:rPr>
        <w:t xml:space="preserve"> = 0.005; </w:t>
      </w:r>
      <w:r w:rsidR="000F15C3" w:rsidRPr="00E967CF">
        <w:rPr>
          <w:b/>
          <w:bCs/>
          <w:lang w:val="en-GB"/>
        </w:rPr>
        <w:t xml:space="preserve">Fig. </w:t>
      </w:r>
      <w:r w:rsidR="001A548E" w:rsidRPr="00E967CF">
        <w:rPr>
          <w:b/>
          <w:bCs/>
          <w:lang w:val="en-GB"/>
        </w:rPr>
        <w:t>5</w:t>
      </w:r>
      <w:r w:rsidR="000F15C3" w:rsidRPr="00E967CF">
        <w:rPr>
          <w:b/>
          <w:bCs/>
          <w:lang w:val="en-GB"/>
        </w:rPr>
        <w:t>G</w:t>
      </w:r>
      <w:r w:rsidR="000F15C3" w:rsidRPr="00E967CF">
        <w:rPr>
          <w:lang w:val="en-GB"/>
        </w:rPr>
        <w:t xml:space="preserve">) replicated the direction of the Cambridge finding (β = 0.255), with both falling substantially short of the theoretical β = 1 if LPR perfectly tracked the </w:t>
      </w:r>
      <w:r w:rsidR="005979B7" w:rsidRPr="00E967CF">
        <w:rPr>
          <w:lang w:val="en-GB"/>
        </w:rPr>
        <w:t>gradient</w:t>
      </w:r>
      <w:r w:rsidR="000F15C3" w:rsidRPr="00E967CF">
        <w:rPr>
          <w:lang w:val="en-GB"/>
        </w:rPr>
        <w:t xml:space="preserve">. The heavier attenuation of the </w:t>
      </w:r>
      <w:r w:rsidR="006E2B37" w:rsidRPr="00E967CF">
        <w:rPr>
          <w:lang w:val="en-GB"/>
        </w:rPr>
        <w:t xml:space="preserve">LPR–m </w:t>
      </w:r>
      <w:r w:rsidR="000F15C3" w:rsidRPr="00E967CF">
        <w:rPr>
          <w:lang w:val="en-GB"/>
        </w:rPr>
        <w:t xml:space="preserve">association in the Uppsala cohort is in line with the </w:t>
      </w:r>
      <w:r w:rsidR="005A57F6" w:rsidRPr="00E967CF">
        <w:rPr>
          <w:lang w:val="en-GB"/>
        </w:rPr>
        <w:t xml:space="preserve">more </w:t>
      </w:r>
      <w:r w:rsidR="000F15C3" w:rsidRPr="00E967CF">
        <w:rPr>
          <w:lang w:val="en-GB"/>
        </w:rPr>
        <w:t xml:space="preserve">negative </w:t>
      </w:r>
      <w:r w:rsidR="005A57F6" w:rsidRPr="00E967CF">
        <w:rPr>
          <w:lang w:val="en-GB"/>
        </w:rPr>
        <w:t>coefficient</w:t>
      </w:r>
      <w:r w:rsidR="000F15C3" w:rsidRPr="00E967CF">
        <w:rPr>
          <w:lang w:val="en-GB"/>
        </w:rPr>
        <w:t xml:space="preserve"> </w:t>
      </w:r>
      <w:r w:rsidR="005A57F6" w:rsidRPr="00E967CF">
        <w:rPr>
          <w:lang w:val="en-GB"/>
        </w:rPr>
        <w:t>of</w:t>
      </w:r>
      <w:r w:rsidR="000F15C3" w:rsidRPr="00E967CF">
        <w:rPr>
          <w:lang w:val="en-GB"/>
        </w:rPr>
        <w:t xml:space="preserve"> </w:t>
      </w:r>
      <w:r w:rsidR="005A57F6" w:rsidRPr="00E967CF">
        <w:rPr>
          <w:lang w:val="en-GB"/>
        </w:rPr>
        <w:t xml:space="preserve">the </w:t>
      </w:r>
      <w:r w:rsidR="005979B7" w:rsidRPr="00E967CF">
        <w:rPr>
          <w:lang w:val="en-GB"/>
        </w:rPr>
        <w:t>gradient</w:t>
      </w:r>
      <w:r w:rsidR="005A57F6" w:rsidRPr="00E967CF">
        <w:rPr>
          <w:lang w:val="en-GB"/>
        </w:rPr>
        <w:t>–</w:t>
      </w:r>
      <w:r w:rsidR="000F15C3" w:rsidRPr="00E967CF">
        <w:rPr>
          <w:lang w:val="en-GB"/>
        </w:rPr>
        <w:t xml:space="preserve">intercept </w:t>
      </w:r>
      <w:r w:rsidR="005A57F6" w:rsidRPr="00E967CF">
        <w:rPr>
          <w:lang w:val="en-GB"/>
        </w:rPr>
        <w:t xml:space="preserve">relationship </w:t>
      </w:r>
      <w:r w:rsidR="000F15C3" w:rsidRPr="00E967CF">
        <w:rPr>
          <w:lang w:val="en-GB"/>
        </w:rPr>
        <w:t xml:space="preserve">(β = </w:t>
      </w:r>
      <w:r w:rsidR="008D2DF2" w:rsidRPr="00E967CF">
        <w:rPr>
          <w:lang w:val="en-GB"/>
        </w:rPr>
        <w:t>-</w:t>
      </w:r>
      <w:r w:rsidR="000F15C3" w:rsidRPr="00E967CF">
        <w:rPr>
          <w:lang w:val="en-GB"/>
        </w:rPr>
        <w:t xml:space="preserve">0.142 mM per unit </w:t>
      </w:r>
      <w:r w:rsidR="000F15C3" w:rsidRPr="00E967CF">
        <w:rPr>
          <w:i/>
          <w:iCs/>
          <w:lang w:val="en-GB"/>
        </w:rPr>
        <w:t>m</w:t>
      </w:r>
      <w:r w:rsidR="000F15C3" w:rsidRPr="00E967CF">
        <w:rPr>
          <w:lang w:val="en-GB"/>
        </w:rPr>
        <w:t xml:space="preserve">, </w:t>
      </w:r>
      <w:r w:rsidR="000F15C3" w:rsidRPr="00E967CF">
        <w:rPr>
          <w:i/>
          <w:iCs/>
          <w:lang w:val="en-GB"/>
        </w:rPr>
        <w:t>p</w:t>
      </w:r>
      <w:r w:rsidR="000F15C3" w:rsidRPr="00E967CF">
        <w:rPr>
          <w:lang w:val="en-GB"/>
        </w:rPr>
        <w:t xml:space="preserve"> &lt; 0.001). </w:t>
      </w:r>
      <w:r w:rsidRPr="00E967CF">
        <w:rPr>
          <w:lang w:val="en-GB"/>
        </w:rPr>
        <w:t xml:space="preserve">The </w:t>
      </w:r>
      <w:r w:rsidR="005979B7" w:rsidRPr="00E967CF">
        <w:rPr>
          <w:lang w:val="en-GB"/>
        </w:rPr>
        <w:lastRenderedPageBreak/>
        <w:t>gradient</w:t>
      </w:r>
      <w:r w:rsidRPr="00E967CF">
        <w:rPr>
          <w:lang w:val="en-GB"/>
        </w:rPr>
        <w:t xml:space="preserve"> (</w:t>
      </w:r>
      <w:r w:rsidRPr="00E967CF">
        <w:rPr>
          <w:i/>
          <w:iCs/>
          <w:lang w:val="en-GB"/>
        </w:rPr>
        <w:t>m</w:t>
      </w:r>
      <w:r w:rsidRPr="00E967CF">
        <w:rPr>
          <w:lang w:val="en-GB"/>
        </w:rPr>
        <w:t xml:space="preserve">) was negatively associated with segment-level median glucose </w:t>
      </w:r>
      <w:bookmarkStart w:id="32" w:name="_Hlk222609088"/>
      <w:r w:rsidRPr="00E967CF">
        <w:rPr>
          <w:lang w:val="en-GB"/>
        </w:rPr>
        <w:t xml:space="preserve">(β = -1.20 mM⁻¹, </w:t>
      </w:r>
      <w:r w:rsidRPr="00E967CF">
        <w:rPr>
          <w:i/>
          <w:iCs/>
          <w:lang w:val="en-GB"/>
        </w:rPr>
        <w:t>p</w:t>
      </w:r>
      <w:r w:rsidRPr="00E967CF">
        <w:rPr>
          <w:lang w:val="en-GB"/>
        </w:rPr>
        <w:t xml:space="preserve"> = 0.022)</w:t>
      </w:r>
      <w:bookmarkEnd w:id="32"/>
      <w:r w:rsidR="00A553CA" w:rsidRPr="00E967CF">
        <w:rPr>
          <w:lang w:val="en-GB"/>
        </w:rPr>
        <w:t xml:space="preserve">, </w:t>
      </w:r>
      <w:r w:rsidR="00C7559D" w:rsidRPr="00E967CF">
        <w:rPr>
          <w:lang w:val="en-GB"/>
        </w:rPr>
        <w:t>while segment-level median</w:t>
      </w:r>
      <w:r w:rsidR="00A553CA" w:rsidRPr="00E967CF">
        <w:rPr>
          <w:lang w:val="en-GB"/>
        </w:rPr>
        <w:t xml:space="preserve"> LPR demonstrated a more extreme trend</w:t>
      </w:r>
      <w:r w:rsidR="00C7559D" w:rsidRPr="00E967CF">
        <w:rPr>
          <w:lang w:val="en-GB"/>
        </w:rPr>
        <w:t xml:space="preserve"> with glucose</w:t>
      </w:r>
      <w:r w:rsidR="00A553CA" w:rsidRPr="00E967CF">
        <w:rPr>
          <w:lang w:val="en-GB"/>
        </w:rPr>
        <w:t xml:space="preserve"> (β = -3.9</w:t>
      </w:r>
      <w:r w:rsidR="00832592" w:rsidRPr="00E967CF">
        <w:rPr>
          <w:lang w:val="en-GB"/>
        </w:rPr>
        <w:t>5</w:t>
      </w:r>
      <w:r w:rsidR="00A553CA" w:rsidRPr="00E967CF">
        <w:rPr>
          <w:lang w:val="en-GB"/>
        </w:rPr>
        <w:t xml:space="preserve"> mM⁻¹, </w:t>
      </w:r>
      <w:r w:rsidR="00A553CA" w:rsidRPr="00E967CF">
        <w:rPr>
          <w:i/>
          <w:iCs/>
          <w:lang w:val="en-GB"/>
        </w:rPr>
        <w:t>p</w:t>
      </w:r>
      <w:r w:rsidR="00A553CA" w:rsidRPr="00E967CF">
        <w:rPr>
          <w:lang w:val="en-GB"/>
        </w:rPr>
        <w:t xml:space="preserve"> </w:t>
      </w:r>
      <w:r w:rsidR="00927602" w:rsidRPr="00E967CF">
        <w:rPr>
          <w:lang w:val="en-GB"/>
        </w:rPr>
        <w:t>&lt;</w:t>
      </w:r>
      <w:r w:rsidR="00A553CA" w:rsidRPr="00E967CF">
        <w:rPr>
          <w:lang w:val="en-GB"/>
        </w:rPr>
        <w:t xml:space="preserve"> 0.0</w:t>
      </w:r>
      <w:r w:rsidR="0096138E" w:rsidRPr="00E967CF">
        <w:rPr>
          <w:lang w:val="en-GB"/>
        </w:rPr>
        <w:t>01</w:t>
      </w:r>
      <w:r w:rsidR="00285CCE" w:rsidRPr="00E967CF">
        <w:rPr>
          <w:lang w:val="en-GB"/>
        </w:rPr>
        <w:t xml:space="preserve">; </w:t>
      </w:r>
      <w:r w:rsidR="00285CCE" w:rsidRPr="00E967CF">
        <w:rPr>
          <w:b/>
          <w:bCs/>
          <w:lang w:val="en-GB"/>
        </w:rPr>
        <w:t xml:space="preserve">Fig. </w:t>
      </w:r>
      <w:r w:rsidR="001A548E" w:rsidRPr="00E967CF">
        <w:rPr>
          <w:b/>
          <w:bCs/>
          <w:lang w:val="en-GB"/>
        </w:rPr>
        <w:t>5</w:t>
      </w:r>
      <w:r w:rsidR="00285CCE" w:rsidRPr="00E967CF">
        <w:rPr>
          <w:b/>
          <w:bCs/>
          <w:lang w:val="en-GB"/>
        </w:rPr>
        <w:t>H</w:t>
      </w:r>
      <w:r w:rsidR="00A553CA" w:rsidRPr="00E967CF">
        <w:rPr>
          <w:lang w:val="en-GB"/>
        </w:rPr>
        <w:t>)</w:t>
      </w:r>
      <w:r w:rsidR="004608B0" w:rsidRPr="00E967CF">
        <w:rPr>
          <w:lang w:val="en-GB"/>
        </w:rPr>
        <w:t xml:space="preserve"> </w:t>
      </w:r>
      <w:r w:rsidR="009C579B" w:rsidRPr="00E967CF">
        <w:rPr>
          <w:lang w:val="en-GB"/>
        </w:rPr>
        <w:t xml:space="preserve">consistent </w:t>
      </w:r>
      <w:r w:rsidR="003036B7" w:rsidRPr="00E967CF">
        <w:rPr>
          <w:lang w:val="en-GB"/>
        </w:rPr>
        <w:t>with amplification from an additional</w:t>
      </w:r>
      <w:r w:rsidR="00DE3E46" w:rsidRPr="00E967CF">
        <w:rPr>
          <w:lang w:val="en-GB"/>
        </w:rPr>
        <w:t xml:space="preserve"> substrate-dependent art</w:t>
      </w:r>
      <w:r w:rsidR="00B957EA" w:rsidRPr="00E967CF">
        <w:rPr>
          <w:lang w:val="en-GB"/>
        </w:rPr>
        <w:t>e</w:t>
      </w:r>
      <w:r w:rsidR="00DE3E46" w:rsidRPr="00E967CF">
        <w:rPr>
          <w:lang w:val="en-GB"/>
        </w:rPr>
        <w:t>fact</w:t>
      </w:r>
      <w:r w:rsidR="004608B0" w:rsidRPr="00E967CF">
        <w:rPr>
          <w:lang w:val="en-GB"/>
        </w:rPr>
        <w:t xml:space="preserve"> </w:t>
      </w:r>
      <w:r w:rsidR="0070376E" w:rsidRPr="00E967CF">
        <w:rPr>
          <w:lang w:val="en-GB"/>
        </w:rPr>
        <w:t xml:space="preserve">associated </w:t>
      </w:r>
      <w:r w:rsidR="00DB718D" w:rsidRPr="00E967CF">
        <w:rPr>
          <w:lang w:val="en-GB"/>
        </w:rPr>
        <w:t xml:space="preserve">with </w:t>
      </w:r>
      <w:r w:rsidR="004608B0" w:rsidRPr="00E967CF">
        <w:rPr>
          <w:lang w:val="en-GB"/>
        </w:rPr>
        <w:t>the majority of segments’ Type P</w:t>
      </w:r>
      <w:r w:rsidR="004608B0" w:rsidRPr="00E967CF">
        <w:rPr>
          <w:i/>
          <w:iCs/>
          <w:vertAlign w:val="subscript"/>
          <w:lang w:val="en-GB"/>
        </w:rPr>
        <w:t>b</w:t>
      </w:r>
      <w:r w:rsidR="004608B0" w:rsidRPr="00E967CF">
        <w:rPr>
          <w:iCs/>
          <w:lang w:val="en-GB"/>
        </w:rPr>
        <w:t xml:space="preserve"> identity</w:t>
      </w:r>
      <w:r w:rsidR="008F2D32" w:rsidRPr="00E967CF">
        <w:rPr>
          <w:iCs/>
          <w:lang w:val="en-GB"/>
        </w:rPr>
        <w:t xml:space="preserve"> (61.4%)</w:t>
      </w:r>
      <w:r w:rsidRPr="00E967CF">
        <w:rPr>
          <w:lang w:val="en-GB"/>
        </w:rPr>
        <w:t>.</w:t>
      </w:r>
    </w:p>
    <w:p w14:paraId="3930A40E" w14:textId="3443E951" w:rsidR="003D675E" w:rsidRPr="00E967CF" w:rsidRDefault="00B57CE5" w:rsidP="00B57CE5">
      <w:pPr>
        <w:rPr>
          <w:lang w:val="en-GB"/>
        </w:rPr>
      </w:pPr>
      <w:r w:rsidRPr="00E967CF">
        <w:rPr>
          <w:lang w:val="en-GB"/>
        </w:rPr>
        <w:t xml:space="preserve">In the external cohort (69 patients with outcome data: Death, 6; Severe, 29; Moderate, 16; Good, 18), </w:t>
      </w:r>
      <w:bookmarkStart w:id="33" w:name="_Hlk225890428"/>
      <w:r w:rsidRPr="00E967CF">
        <w:rPr>
          <w:lang w:val="en-GB"/>
        </w:rPr>
        <w:t>neither LPR (</w:t>
      </w:r>
      <w:r w:rsidR="006135E1">
        <w:rPr>
          <w:lang w:val="en-GB"/>
        </w:rPr>
        <w:t xml:space="preserve">linear contrast </w:t>
      </w:r>
      <w:r w:rsidRPr="00E967CF">
        <w:rPr>
          <w:i/>
          <w:iCs/>
          <w:lang w:val="en-GB"/>
        </w:rPr>
        <w:t>p</w:t>
      </w:r>
      <w:r w:rsidRPr="00E967CF">
        <w:rPr>
          <w:lang w:val="en-GB"/>
        </w:rPr>
        <w:t xml:space="preserve"> = 0.470) nor the </w:t>
      </w:r>
      <w:r w:rsidR="005979B7" w:rsidRPr="00E967CF">
        <w:rPr>
          <w:lang w:val="en-GB"/>
        </w:rPr>
        <w:t>gradient</w:t>
      </w:r>
      <w:r w:rsidRPr="00E967CF">
        <w:rPr>
          <w:lang w:val="en-GB"/>
        </w:rPr>
        <w:t xml:space="preserve"> (</w:t>
      </w:r>
      <w:r w:rsidRPr="00E967CF">
        <w:rPr>
          <w:i/>
          <w:iCs/>
          <w:lang w:val="en-GB"/>
        </w:rPr>
        <w:t>m</w:t>
      </w:r>
      <w:r w:rsidRPr="00E967CF">
        <w:rPr>
          <w:lang w:val="en-GB"/>
        </w:rPr>
        <w:t>;</w:t>
      </w:r>
      <w:r w:rsidR="006135E1">
        <w:rPr>
          <w:lang w:val="en-GB"/>
        </w:rPr>
        <w:t xml:space="preserve"> linear contrast</w:t>
      </w:r>
      <w:r w:rsidR="00CA30B9">
        <w:rPr>
          <w:lang w:val="en-GB"/>
        </w:rPr>
        <w:t xml:space="preserve"> </w:t>
      </w:r>
      <w:r w:rsidRPr="00CA30B9">
        <w:rPr>
          <w:i/>
          <w:iCs/>
          <w:lang w:val="en-GB"/>
        </w:rPr>
        <w:t>p</w:t>
      </w:r>
      <w:r w:rsidRPr="00E967CF">
        <w:rPr>
          <w:lang w:val="en-GB"/>
        </w:rPr>
        <w:t xml:space="preserve"> = 0.784) were significantly associated with 6-month functional outcome. The intercept (</w:t>
      </w:r>
      <w:r w:rsidRPr="00E967CF">
        <w:rPr>
          <w:i/>
          <w:iCs/>
          <w:lang w:val="en-GB"/>
        </w:rPr>
        <w:t>b</w:t>
      </w:r>
      <w:r w:rsidRPr="00E967CF">
        <w:rPr>
          <w:lang w:val="en-GB"/>
        </w:rPr>
        <w:t>) also showed no significant association (</w:t>
      </w:r>
      <w:r w:rsidR="00354DFD">
        <w:rPr>
          <w:lang w:val="en-GB"/>
        </w:rPr>
        <w:t xml:space="preserve">linear contrast </w:t>
      </w:r>
      <w:r w:rsidRPr="00E967CF">
        <w:rPr>
          <w:i/>
          <w:iCs/>
          <w:lang w:val="en-GB"/>
        </w:rPr>
        <w:t>p</w:t>
      </w:r>
      <w:r w:rsidRPr="00E967CF">
        <w:rPr>
          <w:lang w:val="en-GB"/>
        </w:rPr>
        <w:t xml:space="preserve"> = 0.546; </w:t>
      </w:r>
      <w:r w:rsidRPr="00E967CF">
        <w:rPr>
          <w:b/>
          <w:bCs/>
          <w:lang w:val="en-GB"/>
        </w:rPr>
        <w:t xml:space="preserve">Fig. </w:t>
      </w:r>
      <w:r w:rsidR="001A548E" w:rsidRPr="00E967CF">
        <w:rPr>
          <w:b/>
          <w:bCs/>
          <w:lang w:val="en-GB"/>
        </w:rPr>
        <w:t>6</w:t>
      </w:r>
      <w:r w:rsidRPr="00E967CF">
        <w:rPr>
          <w:b/>
          <w:bCs/>
          <w:lang w:val="en-GB"/>
        </w:rPr>
        <w:t>D</w:t>
      </w:r>
      <w:r w:rsidRPr="00E967CF">
        <w:rPr>
          <w:lang w:val="en-GB"/>
        </w:rPr>
        <w:t>–</w:t>
      </w:r>
      <w:r w:rsidRPr="00E967CF">
        <w:rPr>
          <w:b/>
          <w:bCs/>
          <w:lang w:val="en-GB"/>
        </w:rPr>
        <w:t>F</w:t>
      </w:r>
      <w:r w:rsidRPr="00E967CF">
        <w:rPr>
          <w:lang w:val="en-GB"/>
        </w:rPr>
        <w:t>).</w:t>
      </w:r>
      <w:bookmarkEnd w:id="33"/>
    </w:p>
    <w:p w14:paraId="118B49F6" w14:textId="13638D3D" w:rsidR="00DF337C" w:rsidRPr="00E967CF" w:rsidRDefault="00DF337C" w:rsidP="00DF337C">
      <w:pPr>
        <w:pStyle w:val="Heading2"/>
        <w:rPr>
          <w:lang w:val="en-GB"/>
        </w:rPr>
      </w:pPr>
      <w:r w:rsidRPr="00E967CF">
        <w:rPr>
          <w:lang w:val="en-GB"/>
        </w:rPr>
        <w:t>3.</w:t>
      </w:r>
      <w:r w:rsidR="00044A94" w:rsidRPr="00E967CF">
        <w:rPr>
          <w:lang w:val="en-GB"/>
        </w:rPr>
        <w:t>8</w:t>
      </w:r>
      <w:r w:rsidRPr="00E967CF">
        <w:rPr>
          <w:lang w:val="en-GB"/>
        </w:rPr>
        <w:t xml:space="preserve"> </w:t>
      </w:r>
      <w:r w:rsidR="00044A94" w:rsidRPr="00E967CF">
        <w:rPr>
          <w:i/>
          <w:iCs/>
          <w:lang w:val="en-GB"/>
        </w:rPr>
        <w:t>In vitro</w:t>
      </w:r>
      <w:r w:rsidRPr="00E967CF">
        <w:rPr>
          <w:lang w:val="en-GB"/>
        </w:rPr>
        <w:t xml:space="preserve"> validation</w:t>
      </w:r>
    </w:p>
    <w:p w14:paraId="79971E65" w14:textId="56162CCE" w:rsidR="00DF337C" w:rsidRPr="00E967CF" w:rsidRDefault="005273EF" w:rsidP="00B57CE5">
      <w:pPr>
        <w:rPr>
          <w:lang w:val="en-GB"/>
        </w:rPr>
      </w:pPr>
      <w:r w:rsidRPr="00E967CF">
        <w:rPr>
          <w:lang w:val="en-GB"/>
        </w:rPr>
        <w:t xml:space="preserve">To test whether the </w:t>
      </w:r>
      <w:r w:rsidR="005979B7" w:rsidRPr="00E967CF">
        <w:rPr>
          <w:lang w:val="en-GB"/>
        </w:rPr>
        <w:t>gradient</w:t>
      </w:r>
      <w:r w:rsidRPr="00E967CF">
        <w:rPr>
          <w:lang w:val="en-GB"/>
        </w:rPr>
        <w:t xml:space="preserve"> (</w:t>
      </w:r>
      <w:r w:rsidRPr="00E967CF">
        <w:rPr>
          <w:i/>
          <w:iCs/>
          <w:lang w:val="en-GB"/>
        </w:rPr>
        <w:t>m</w:t>
      </w:r>
      <w:r w:rsidRPr="00E967CF">
        <w:rPr>
          <w:lang w:val="en-GB"/>
        </w:rPr>
        <w:t>) is linked to mitochondrial dysfunction, we examined the lactate–pyruvate relationship in hiPSC-derived neurons treated with rotenone (10 nM), a complex I inhibitor (</w:t>
      </w:r>
      <w:r w:rsidRPr="00E967CF">
        <w:rPr>
          <w:b/>
          <w:bCs/>
          <w:lang w:val="en-GB"/>
        </w:rPr>
        <w:t xml:space="preserve">Fig. </w:t>
      </w:r>
      <w:r w:rsidR="001A548E" w:rsidRPr="00E967CF">
        <w:rPr>
          <w:b/>
          <w:bCs/>
          <w:lang w:val="en-GB"/>
        </w:rPr>
        <w:t>7</w:t>
      </w:r>
      <w:r w:rsidRPr="00E967CF">
        <w:rPr>
          <w:lang w:val="en-GB"/>
        </w:rPr>
        <w:t>). Under control conditions, neurons exhibited a linear lactate–pyruvate relationship with a</w:t>
      </w:r>
      <w:r w:rsidR="003F46AC" w:rsidRPr="00E967CF">
        <w:rPr>
          <w:lang w:val="en-GB"/>
        </w:rPr>
        <w:t xml:space="preserve">n </w:t>
      </w:r>
      <w:r w:rsidR="003F46AC" w:rsidRPr="00E967CF">
        <w:rPr>
          <w:i/>
          <w:iCs/>
          <w:lang w:val="en-GB"/>
        </w:rPr>
        <w:t>m</w:t>
      </w:r>
      <w:r w:rsidR="003F46AC" w:rsidRPr="00E967CF">
        <w:rPr>
          <w:lang w:val="en-GB"/>
        </w:rPr>
        <w:t xml:space="preserve"> </w:t>
      </w:r>
      <w:r w:rsidRPr="00E967CF">
        <w:rPr>
          <w:lang w:val="en-GB"/>
        </w:rPr>
        <w:t xml:space="preserve">of 14.2 (R² = 0.66, n = 34). Rotenone treatment more than doubled </w:t>
      </w:r>
      <w:r w:rsidR="00C5464D" w:rsidRPr="00E967CF">
        <w:rPr>
          <w:i/>
          <w:iCs/>
          <w:lang w:val="en-GB"/>
        </w:rPr>
        <w:t>m</w:t>
      </w:r>
      <w:r w:rsidRPr="00E967CF">
        <w:rPr>
          <w:lang w:val="en-GB"/>
        </w:rPr>
        <w:t xml:space="preserve"> to 32.9 (R² = 0.80, n = 34), with the difference confirmed by ANCOVA (</w:t>
      </w:r>
      <w:r w:rsidR="005979B7" w:rsidRPr="00E967CF">
        <w:rPr>
          <w:lang w:val="en-GB"/>
        </w:rPr>
        <w:t>gradient</w:t>
      </w:r>
      <w:r w:rsidRPr="00E967CF">
        <w:rPr>
          <w:lang w:val="en-GB"/>
        </w:rPr>
        <w:t xml:space="preserve"> shift </w:t>
      </w:r>
      <w:r w:rsidRPr="00E967CF">
        <w:rPr>
          <w:i/>
          <w:iCs/>
          <w:lang w:val="en-GB"/>
        </w:rPr>
        <w:t>p</w:t>
      </w:r>
      <w:r w:rsidRPr="00E967CF">
        <w:rPr>
          <w:lang w:val="en-GB"/>
        </w:rPr>
        <w:t xml:space="preserve"> &lt; 0.001; residual df = 64). The intercept</w:t>
      </w:r>
      <w:r w:rsidR="0063010D" w:rsidRPr="00E967CF">
        <w:rPr>
          <w:lang w:val="en-GB"/>
        </w:rPr>
        <w:t xml:space="preserve"> (</w:t>
      </w:r>
      <w:r w:rsidR="0063010D" w:rsidRPr="00E967CF">
        <w:rPr>
          <w:i/>
          <w:iCs/>
          <w:lang w:val="en-GB"/>
        </w:rPr>
        <w:t>b</w:t>
      </w:r>
      <w:r w:rsidR="0063010D" w:rsidRPr="00E967CF">
        <w:rPr>
          <w:lang w:val="en-GB"/>
        </w:rPr>
        <w:t>)</w:t>
      </w:r>
      <w:r w:rsidRPr="00E967CF">
        <w:rPr>
          <w:lang w:val="en-GB"/>
        </w:rPr>
        <w:t xml:space="preserve"> was near zero in both conditions (control: 0.026 mM; rotenone: -0.107 mM), though the shift was also significant (</w:t>
      </w:r>
      <w:r w:rsidRPr="00E967CF">
        <w:rPr>
          <w:i/>
          <w:iCs/>
          <w:lang w:val="en-GB"/>
        </w:rPr>
        <w:t>p</w:t>
      </w:r>
      <w:r w:rsidRPr="00E967CF">
        <w:rPr>
          <w:lang w:val="en-GB"/>
        </w:rPr>
        <w:t xml:space="preserve"> &lt; 0.001). These results provide direct evidence that inhibition of the mitochondrial ETC increases the lactate–pyruvate </w:t>
      </w:r>
      <w:r w:rsidR="005979B7" w:rsidRPr="00E967CF">
        <w:rPr>
          <w:lang w:val="en-GB"/>
        </w:rPr>
        <w:t>gradient</w:t>
      </w:r>
      <w:r w:rsidRPr="00E967CF">
        <w:rPr>
          <w:lang w:val="en-GB"/>
        </w:rPr>
        <w:t xml:space="preserve">, consistent with the interpretation of </w:t>
      </w:r>
      <w:r w:rsidRPr="00E967CF">
        <w:rPr>
          <w:i/>
          <w:iCs/>
          <w:lang w:val="en-GB"/>
        </w:rPr>
        <w:t>m</w:t>
      </w:r>
      <w:r w:rsidRPr="00E967CF">
        <w:rPr>
          <w:lang w:val="en-GB"/>
        </w:rPr>
        <w:t xml:space="preserve"> as an indicator of anaerobic activity.</w:t>
      </w:r>
    </w:p>
    <w:bookmarkEnd w:id="29"/>
    <w:bookmarkEnd w:id="31"/>
    <w:p w14:paraId="333E590E" w14:textId="27249B84" w:rsidR="007354E5" w:rsidRPr="00E967CF" w:rsidRDefault="008E639A" w:rsidP="00205120">
      <w:pPr>
        <w:pStyle w:val="Heading1"/>
        <w:rPr>
          <w:lang w:val="en-GB"/>
        </w:rPr>
      </w:pPr>
      <w:r w:rsidRPr="00E967CF">
        <w:rPr>
          <w:lang w:val="en-GB"/>
        </w:rPr>
        <w:t xml:space="preserve">4 </w:t>
      </w:r>
      <w:r w:rsidR="007354E5" w:rsidRPr="00E967CF">
        <w:rPr>
          <w:lang w:val="en-GB"/>
        </w:rPr>
        <w:t>Discussion</w:t>
      </w:r>
    </w:p>
    <w:p w14:paraId="01B78205" w14:textId="1759E839" w:rsidR="00657564" w:rsidRPr="00E967CF" w:rsidRDefault="006F3E69" w:rsidP="00657564">
      <w:pPr>
        <w:rPr>
          <w:lang w:val="en-GB"/>
        </w:rPr>
      </w:pPr>
      <w:bookmarkStart w:id="34" w:name="_Hlk183968645"/>
      <w:r w:rsidRPr="00E967CF">
        <w:rPr>
          <w:lang w:val="en-GB"/>
        </w:rPr>
        <w:t xml:space="preserve">This study introduces a framework for isolating the linear lactate–pyruvate </w:t>
      </w:r>
      <w:r w:rsidR="005979B7" w:rsidRPr="00E967CF">
        <w:rPr>
          <w:lang w:val="en-GB"/>
        </w:rPr>
        <w:t>gradient</w:t>
      </w:r>
      <w:r w:rsidRPr="00E967CF">
        <w:rPr>
          <w:lang w:val="en-GB"/>
        </w:rPr>
        <w:t xml:space="preserve"> (</w:t>
      </w:r>
      <w:r w:rsidRPr="00E967CF">
        <w:rPr>
          <w:i/>
          <w:iCs/>
          <w:lang w:val="en-GB"/>
        </w:rPr>
        <w:t>m</w:t>
      </w:r>
      <w:r w:rsidRPr="00E967CF">
        <w:rPr>
          <w:lang w:val="en-GB"/>
        </w:rPr>
        <w:t>) as a more direct</w:t>
      </w:r>
      <w:r w:rsidR="00DC1041" w:rsidRPr="00E967CF">
        <w:rPr>
          <w:lang w:val="en-GB"/>
        </w:rPr>
        <w:t xml:space="preserve"> and stable</w:t>
      </w:r>
      <w:r w:rsidRPr="00E967CF">
        <w:rPr>
          <w:lang w:val="en-GB"/>
        </w:rPr>
        <w:t xml:space="preserve"> indicator of anaerobic activity than the LPR. To our knowledge, this is the first study to systematically characteri</w:t>
      </w:r>
      <w:r w:rsidR="00A72555">
        <w:rPr>
          <w:lang w:val="en-GB"/>
        </w:rPr>
        <w:t>s</w:t>
      </w:r>
      <w:r w:rsidRPr="00E967CF">
        <w:rPr>
          <w:lang w:val="en-GB"/>
        </w:rPr>
        <w:t xml:space="preserve">e the linear lactate–pyruvate relationship as monitored by CMD and to track its dynamics over time within individual patients. We demonstrate that the </w:t>
      </w:r>
      <w:r w:rsidR="005979B7" w:rsidRPr="00E967CF">
        <w:rPr>
          <w:lang w:val="en-GB"/>
        </w:rPr>
        <w:t>gradient</w:t>
      </w:r>
      <w:r w:rsidRPr="00E967CF">
        <w:rPr>
          <w:lang w:val="en-GB"/>
        </w:rPr>
        <w:t xml:space="preserve"> is negatively associated with substrate delivery, significantly associated with functional outcome, and mechanistically linked to mitochondrial dysfunction, and we externally validate the core structural and physiological findings in an independent cohort.</w:t>
      </w:r>
      <w:r w:rsidR="00F31487" w:rsidRPr="00E967CF">
        <w:rPr>
          <w:lang w:val="en-GB"/>
        </w:rPr>
        <w:t xml:space="preserve"> Both impaired substrate delivery and mitochondrial dysfunction are thus expected to produce higher </w:t>
      </w:r>
      <w:r w:rsidR="005979B7" w:rsidRPr="00E967CF">
        <w:rPr>
          <w:lang w:val="en-GB"/>
        </w:rPr>
        <w:t>gradient</w:t>
      </w:r>
      <w:r w:rsidR="00F31487" w:rsidRPr="00E967CF">
        <w:rPr>
          <w:lang w:val="en-GB"/>
        </w:rPr>
        <w:t>s, which are in turn associated with worse functional outcomes.</w:t>
      </w:r>
      <w:r w:rsidRPr="00E967CF">
        <w:rPr>
          <w:lang w:val="en-GB"/>
        </w:rPr>
        <w:t xml:space="preserve"> </w:t>
      </w:r>
      <w:r w:rsidR="00E83366" w:rsidRPr="00E967CF">
        <w:rPr>
          <w:lang w:val="en-GB"/>
        </w:rPr>
        <w:t xml:space="preserve">In contrast, the LPR, although also associated with outcome, is systematically displaced from </w:t>
      </w:r>
      <w:r w:rsidR="00E83366" w:rsidRPr="00E967CF">
        <w:rPr>
          <w:lang w:val="en-GB"/>
        </w:rPr>
        <w:lastRenderedPageBreak/>
        <w:t>the underlying gradient by the intercept (</w:t>
      </w:r>
      <w:r w:rsidR="00E83366" w:rsidRPr="00E967CF">
        <w:rPr>
          <w:i/>
          <w:iCs/>
          <w:lang w:val="en-GB"/>
        </w:rPr>
        <w:t>b</w:t>
      </w:r>
      <w:r w:rsidR="00E83366" w:rsidRPr="00E967CF">
        <w:rPr>
          <w:lang w:val="en-GB"/>
        </w:rPr>
        <w:t>), which captures non-LDH-linked metabolic variance, and thus is an unreliable marker of anaerobic activity.</w:t>
      </w:r>
    </w:p>
    <w:p w14:paraId="78039F0D" w14:textId="1955C700" w:rsidR="00657564" w:rsidRPr="00E967CF" w:rsidRDefault="00657564" w:rsidP="00657564">
      <w:pPr>
        <w:rPr>
          <w:lang w:val="en-GB"/>
        </w:rPr>
      </w:pPr>
      <w:r w:rsidRPr="00E967CF">
        <w:rPr>
          <w:lang w:val="en-GB"/>
        </w:rPr>
        <w:t xml:space="preserve">The hypothesis that LDH-driven lactate–pyruvate dynamics are detectable via CMD and linear modelling was strongly supported by our data: 91.4% of detected linear segments had positive </w:t>
      </w:r>
      <w:r w:rsidR="005979B7" w:rsidRPr="00E967CF">
        <w:rPr>
          <w:lang w:val="en-GB"/>
        </w:rPr>
        <w:t>gradient</w:t>
      </w:r>
      <w:r w:rsidRPr="00E967CF">
        <w:rPr>
          <w:lang w:val="en-GB"/>
        </w:rPr>
        <w:t xml:space="preserve">s, consistent with the expected directionality </w:t>
      </w:r>
      <w:r w:rsidR="00EA7E3D" w:rsidRPr="00E967CF">
        <w:rPr>
          <w:lang w:val="en-GB"/>
        </w:rPr>
        <w:t>driven by</w:t>
      </w:r>
      <w:r w:rsidRPr="00E967CF">
        <w:rPr>
          <w:lang w:val="en-GB"/>
        </w:rPr>
        <w:t xml:space="preserve"> LDH equilibrium</w:t>
      </w:r>
      <w:r w:rsidR="00752F7D" w:rsidRPr="00E967CF">
        <w:rPr>
          <w:lang w:val="en-GB"/>
        </w:rPr>
        <w:t xml:space="preserve"> (Equation 1)</w:t>
      </w:r>
      <w:r w:rsidRPr="00E967CF">
        <w:rPr>
          <w:lang w:val="en-GB"/>
        </w:rPr>
        <w:t xml:space="preserve">. These retained segments </w:t>
      </w:r>
      <w:r w:rsidR="00DC6B5B">
        <w:rPr>
          <w:lang w:val="en-GB"/>
        </w:rPr>
        <w:t>had</w:t>
      </w:r>
      <w:r w:rsidRPr="00E967CF">
        <w:rPr>
          <w:lang w:val="en-GB"/>
        </w:rPr>
        <w:t xml:space="preserve"> a median duration of 41.4 hours and a median goodness of fit of R² = 0.69. The minority of segments with non-positive </w:t>
      </w:r>
      <w:r w:rsidR="005979B7" w:rsidRPr="00E967CF">
        <w:rPr>
          <w:lang w:val="en-GB"/>
        </w:rPr>
        <w:t>gradient</w:t>
      </w:r>
      <w:r w:rsidRPr="00E967CF">
        <w:rPr>
          <w:lang w:val="en-GB"/>
        </w:rPr>
        <w:t>s (8.6%) may reflect Simpson's paradox</w:t>
      </w:r>
      <w:r w:rsidR="00D66498" w:rsidRPr="00E967CF">
        <w:rPr>
          <w:vertAlign w:val="superscript"/>
          <w:lang w:val="en-GB"/>
        </w:rPr>
        <w:t>21</w:t>
      </w:r>
      <w:r w:rsidRPr="00E967CF">
        <w:rPr>
          <w:lang w:val="en-GB"/>
        </w:rPr>
        <w:t xml:space="preserve"> arising from insufficient temporal resolution, or biological complexity such as non-LDH-linked lactate sources (e.g., cell death)</w:t>
      </w:r>
      <w:r w:rsidR="00784E20" w:rsidRPr="00E967CF">
        <w:rPr>
          <w:lang w:val="en-GB"/>
        </w:rPr>
        <w:t xml:space="preserve"> (</w:t>
      </w:r>
      <w:r w:rsidR="00784E20" w:rsidRPr="00E967CF">
        <w:rPr>
          <w:b/>
          <w:bCs/>
          <w:lang w:val="en-GB"/>
        </w:rPr>
        <w:t>Fig. S2</w:t>
      </w:r>
      <w:r w:rsidR="00784E20" w:rsidRPr="00E967CF">
        <w:rPr>
          <w:lang w:val="en-GB"/>
        </w:rPr>
        <w:t>)</w:t>
      </w:r>
      <w:r w:rsidRPr="00E967CF">
        <w:rPr>
          <w:lang w:val="en-GB"/>
        </w:rPr>
        <w:t>.</w:t>
      </w:r>
      <w:r w:rsidR="001650F2" w:rsidRPr="00E967CF">
        <w:rPr>
          <w:lang w:val="en-GB"/>
        </w:rPr>
        <w:t xml:space="preserve"> </w:t>
      </w:r>
      <w:r w:rsidRPr="00E967CF">
        <w:rPr>
          <w:lang w:val="en-GB"/>
        </w:rPr>
        <w:t>The high retention rate indicates that the linear lactate–pyruvate relationship is a robust and prevalent feature of CMD data in TBI.</w:t>
      </w:r>
    </w:p>
    <w:p w14:paraId="3DF9C07E" w14:textId="6CA0C7A6" w:rsidR="00657564" w:rsidRPr="00E967CF" w:rsidRDefault="00657564" w:rsidP="00657564">
      <w:pPr>
        <w:rPr>
          <w:lang w:val="en-GB"/>
        </w:rPr>
      </w:pPr>
      <w:r w:rsidRPr="00E967CF">
        <w:rPr>
          <w:lang w:val="en-GB"/>
        </w:rPr>
        <w:t xml:space="preserve">A key methodological contribution of this study was the use of </w:t>
      </w:r>
      <w:r w:rsidR="00220401" w:rsidRPr="00E967CF">
        <w:rPr>
          <w:lang w:val="en-GB"/>
        </w:rPr>
        <w:t>data-driven</w:t>
      </w:r>
      <w:r w:rsidRPr="00E967CF">
        <w:rPr>
          <w:lang w:val="en-GB"/>
        </w:rPr>
        <w:t xml:space="preserve">, automated changepoint detection to identify temporally distinct linear trends within each patient's monitoring data. This approach was empirically validated: segment-level correlations significantly exceeded patient-level correlations, confirming that patients experience multiple distinct linear relationships throughout their monitoring rather than a single static trend. The substantial within-patient variation in the </w:t>
      </w:r>
      <w:r w:rsidR="005979B7" w:rsidRPr="00E967CF">
        <w:rPr>
          <w:lang w:val="en-GB"/>
        </w:rPr>
        <w:t>gradient</w:t>
      </w:r>
      <w:r w:rsidRPr="00E967CF">
        <w:rPr>
          <w:lang w:val="en-GB"/>
        </w:rPr>
        <w:t xml:space="preserve"> (median range 12.28) further underscores that the level of anaerobic activity is not fixed but shifts over time, potentially reflecting changes in substrate delivery, mitochondrial function, or therapeutic intervention.</w:t>
      </w:r>
    </w:p>
    <w:p w14:paraId="315A7B77" w14:textId="491BC66F" w:rsidR="00657564" w:rsidRPr="00E967CF" w:rsidRDefault="00657564" w:rsidP="00657564">
      <w:pPr>
        <w:rPr>
          <w:lang w:val="en-GB"/>
        </w:rPr>
      </w:pPr>
      <w:bookmarkStart w:id="35" w:name="_Hlk223542336"/>
      <w:r w:rsidRPr="00E967CF">
        <w:rPr>
          <w:lang w:val="en-GB"/>
        </w:rPr>
        <w:t>The empirical necessity of the intercept (</w:t>
      </w:r>
      <w:r w:rsidRPr="00E967CF">
        <w:rPr>
          <w:i/>
          <w:iCs/>
          <w:lang w:val="en-GB"/>
        </w:rPr>
        <w:t>b</w:t>
      </w:r>
      <w:r w:rsidRPr="00E967CF">
        <w:rPr>
          <w:lang w:val="en-GB"/>
        </w:rPr>
        <w:t xml:space="preserve">) was confirmed by AIC model comparison. While </w:t>
      </w:r>
      <w:r w:rsidRPr="00E967CF">
        <w:rPr>
          <w:i/>
          <w:iCs/>
          <w:lang w:val="en-GB"/>
        </w:rPr>
        <w:t>b</w:t>
      </w:r>
      <w:r w:rsidRPr="00E967CF">
        <w:rPr>
          <w:lang w:val="en-GB"/>
        </w:rPr>
        <w:t xml:space="preserve"> is essential for accurately isolating the </w:t>
      </w:r>
      <w:r w:rsidR="005979B7" w:rsidRPr="00E967CF">
        <w:rPr>
          <w:lang w:val="en-GB"/>
        </w:rPr>
        <w:t>gradient</w:t>
      </w:r>
      <w:r w:rsidRPr="00E967CF">
        <w:rPr>
          <w:lang w:val="en-GB"/>
        </w:rPr>
        <w:t xml:space="preserve"> (</w:t>
      </w:r>
      <w:r w:rsidRPr="00E967CF">
        <w:rPr>
          <w:i/>
          <w:iCs/>
          <w:lang w:val="en-GB"/>
        </w:rPr>
        <w:t>m</w:t>
      </w:r>
      <w:r w:rsidRPr="00E967CF">
        <w:rPr>
          <w:lang w:val="en-GB"/>
        </w:rPr>
        <w:t xml:space="preserve">), </w:t>
      </w:r>
      <w:bookmarkStart w:id="36" w:name="_Hlk223542355"/>
      <w:r w:rsidRPr="00E967CF">
        <w:rPr>
          <w:lang w:val="en-GB"/>
        </w:rPr>
        <w:t xml:space="preserve">its presence </w:t>
      </w:r>
      <w:r w:rsidR="001C317D" w:rsidRPr="00E967CF">
        <w:rPr>
          <w:lang w:val="en-GB"/>
        </w:rPr>
        <w:t>destabilises the</w:t>
      </w:r>
      <w:r w:rsidRPr="00E967CF">
        <w:rPr>
          <w:lang w:val="en-GB"/>
        </w:rPr>
        <w:t xml:space="preserve"> LPR</w:t>
      </w:r>
      <w:bookmarkEnd w:id="36"/>
      <w:r w:rsidRPr="00E967CF">
        <w:rPr>
          <w:lang w:val="en-GB"/>
        </w:rPr>
        <w:t xml:space="preserve">. Mathematically, LPR = </w:t>
      </w:r>
      <w:r w:rsidRPr="00E967CF">
        <w:rPr>
          <w:i/>
          <w:iCs/>
          <w:lang w:val="en-GB"/>
        </w:rPr>
        <w:t>m</w:t>
      </w:r>
      <w:r w:rsidRPr="00E967CF">
        <w:rPr>
          <w:lang w:val="en-GB"/>
        </w:rPr>
        <w:t xml:space="preserve"> + </w:t>
      </w:r>
      <w:r w:rsidRPr="00E967CF">
        <w:rPr>
          <w:i/>
          <w:iCs/>
          <w:lang w:val="en-GB"/>
        </w:rPr>
        <w:t>b</w:t>
      </w:r>
      <w:r w:rsidRPr="00E967CF">
        <w:rPr>
          <w:lang w:val="en-GB"/>
        </w:rPr>
        <w:t>/P (Equation 6), meaning the LPR deviates from the underlying</w:t>
      </w:r>
      <w:r w:rsidR="00CC7F4C" w:rsidRPr="00E967CF">
        <w:rPr>
          <w:lang w:val="en-GB"/>
        </w:rPr>
        <w:t xml:space="preserve"> </w:t>
      </w:r>
      <w:r w:rsidR="005979B7" w:rsidRPr="00E967CF">
        <w:rPr>
          <w:lang w:val="en-GB"/>
        </w:rPr>
        <w:t>gradient</w:t>
      </w:r>
      <w:r w:rsidR="00CC7F4C" w:rsidRPr="00E967CF">
        <w:rPr>
          <w:lang w:val="en-GB"/>
        </w:rPr>
        <w:t xml:space="preserve"> parameter (</w:t>
      </w:r>
      <w:r w:rsidR="00CC7F4C" w:rsidRPr="00E967CF">
        <w:rPr>
          <w:i/>
          <w:iCs/>
          <w:lang w:val="en-GB"/>
        </w:rPr>
        <w:t>m</w:t>
      </w:r>
      <w:r w:rsidR="00CC7F4C" w:rsidRPr="00E967CF">
        <w:rPr>
          <w:lang w:val="en-GB"/>
        </w:rPr>
        <w:t>)</w:t>
      </w:r>
      <w:r w:rsidRPr="00E967CF">
        <w:rPr>
          <w:lang w:val="en-GB"/>
        </w:rPr>
        <w:t xml:space="preserve"> in a substrate-dependent manner that is amplified at low pyruvate concentrations. Our quantification of this error was striking: in segments with a positive intercept, the median LPR error at minimum pyruvate was +103.4%, meaning the LPR more than doubled the true level of anaerobic activity. Even at maximum pyruvate, the error remained substantial. Furthermore, within a single segment of stable </w:t>
      </w:r>
      <w:r w:rsidR="005979B7" w:rsidRPr="00E967CF">
        <w:rPr>
          <w:lang w:val="en-GB"/>
        </w:rPr>
        <w:t>gradient</w:t>
      </w:r>
      <w:r w:rsidR="00BB012E" w:rsidRPr="00E967CF">
        <w:rPr>
          <w:lang w:val="en-GB"/>
        </w:rPr>
        <w:t xml:space="preserve"> (</w:t>
      </w:r>
      <w:r w:rsidR="00BB012E" w:rsidRPr="00E967CF">
        <w:rPr>
          <w:i/>
          <w:iCs/>
          <w:lang w:val="en-GB"/>
        </w:rPr>
        <w:t>m</w:t>
      </w:r>
      <w:r w:rsidR="00BB012E" w:rsidRPr="00E967CF">
        <w:rPr>
          <w:lang w:val="en-GB"/>
        </w:rPr>
        <w:t>)</w:t>
      </w:r>
      <w:r w:rsidRPr="00E967CF">
        <w:rPr>
          <w:lang w:val="en-GB"/>
        </w:rPr>
        <w:t>, LPR varied by a median of 14.4 units, driven entirely by substrate fluctuations along the hyperbolic curve. This finding has important implications for clinical practice: changes in the LPR at the bedside may reflect changes in pyruvate supply rather than genuine shifts in anaerobic metabolism.</w:t>
      </w:r>
    </w:p>
    <w:bookmarkEnd w:id="35"/>
    <w:p w14:paraId="773F47F6" w14:textId="28A6D43A" w:rsidR="00657564" w:rsidRPr="00E967CF" w:rsidRDefault="00E00A66" w:rsidP="00657564">
      <w:pPr>
        <w:rPr>
          <w:lang w:val="en-GB"/>
        </w:rPr>
      </w:pPr>
      <w:r w:rsidRPr="00E967CF">
        <w:rPr>
          <w:lang w:val="en-GB"/>
        </w:rPr>
        <w:lastRenderedPageBreak/>
        <w:t xml:space="preserve">The substrate delivery and LPR fidelity analyses provided converging evidence that the LPR is a poor proxy for the underlying </w:t>
      </w:r>
      <w:r w:rsidR="005979B7" w:rsidRPr="00E967CF">
        <w:rPr>
          <w:lang w:val="en-GB"/>
        </w:rPr>
        <w:t>gradient</w:t>
      </w:r>
      <w:r w:rsidRPr="00E967CF">
        <w:rPr>
          <w:lang w:val="en-GB"/>
        </w:rPr>
        <w:t xml:space="preserve">. Within segments of stable </w:t>
      </w:r>
      <w:r w:rsidR="005979B7" w:rsidRPr="00E967CF">
        <w:rPr>
          <w:lang w:val="en-GB"/>
        </w:rPr>
        <w:t>gradient</w:t>
      </w:r>
      <w:r w:rsidRPr="00E967CF">
        <w:rPr>
          <w:lang w:val="en-GB"/>
        </w:rPr>
        <w:t>, changes in glucose drove LPR in opposite directions depending on the sign of the intercept (</w:t>
      </w:r>
      <w:r w:rsidRPr="00E967CF">
        <w:rPr>
          <w:i/>
          <w:iCs/>
          <w:lang w:val="en-GB"/>
        </w:rPr>
        <w:t>b</w:t>
      </w:r>
      <w:r w:rsidRPr="00E967CF">
        <w:rPr>
          <w:lang w:val="en-GB"/>
        </w:rPr>
        <w:t xml:space="preserve">), further illustrating the artefactual nature of within-segment LPR fluctuations. Between segments, the LPR is </w:t>
      </w:r>
      <w:r w:rsidR="007A4398" w:rsidRPr="00E967CF">
        <w:rPr>
          <w:lang w:val="en-GB"/>
        </w:rPr>
        <w:t xml:space="preserve">much </w:t>
      </w:r>
      <w:r w:rsidRPr="00E967CF">
        <w:rPr>
          <w:lang w:val="en-GB"/>
        </w:rPr>
        <w:t>less sensitive to shifts in anaerobic activity</w:t>
      </w:r>
      <w:r w:rsidR="007A4398" w:rsidRPr="00E967CF">
        <w:rPr>
          <w:lang w:val="en-GB"/>
        </w:rPr>
        <w:t xml:space="preserve"> </w:t>
      </w:r>
      <w:r w:rsidRPr="00E967CF">
        <w:rPr>
          <w:lang w:val="en-GB"/>
        </w:rPr>
        <w:t xml:space="preserve">and more susceptible to confounding variance. Part of this insensitivity arises from a significant negative coupling between the </w:t>
      </w:r>
      <w:r w:rsidR="005979B7" w:rsidRPr="00E967CF">
        <w:rPr>
          <w:lang w:val="en-GB"/>
        </w:rPr>
        <w:t>gradient</w:t>
      </w:r>
      <w:r w:rsidRPr="00E967CF">
        <w:rPr>
          <w:lang w:val="en-GB"/>
        </w:rPr>
        <w:t xml:space="preserve"> and the intercept: as </w:t>
      </w:r>
      <w:r w:rsidRPr="00E967CF">
        <w:rPr>
          <w:i/>
          <w:iCs/>
          <w:lang w:val="en-GB"/>
        </w:rPr>
        <w:t>m</w:t>
      </w:r>
      <w:r w:rsidRPr="00E967CF">
        <w:rPr>
          <w:lang w:val="en-GB"/>
        </w:rPr>
        <w:t xml:space="preserve"> increases, </w:t>
      </w:r>
      <w:r w:rsidRPr="00E967CF">
        <w:rPr>
          <w:i/>
          <w:iCs/>
          <w:lang w:val="en-GB"/>
        </w:rPr>
        <w:t>b</w:t>
      </w:r>
      <w:r w:rsidRPr="00E967CF">
        <w:rPr>
          <w:lang w:val="en-GB"/>
        </w:rPr>
        <w:t xml:space="preserve"> tends to decrease</w:t>
      </w:r>
      <w:r w:rsidR="00243BE8" w:rsidRPr="00E967CF">
        <w:rPr>
          <w:lang w:val="en-GB"/>
        </w:rPr>
        <w:t>. This</w:t>
      </w:r>
      <w:r w:rsidRPr="00E967CF">
        <w:rPr>
          <w:lang w:val="en-GB"/>
        </w:rPr>
        <w:t xml:space="preserve"> tendency </w:t>
      </w:r>
      <w:r w:rsidR="008D2F86" w:rsidRPr="00E967CF">
        <w:rPr>
          <w:lang w:val="en-GB"/>
        </w:rPr>
        <w:t>could be a geometric consequence of</w:t>
      </w:r>
      <w:r w:rsidRPr="00E967CF">
        <w:rPr>
          <w:lang w:val="en-GB"/>
        </w:rPr>
        <w:t xml:space="preserve"> </w:t>
      </w:r>
      <w:r w:rsidR="008D2F86" w:rsidRPr="00E967CF">
        <w:rPr>
          <w:lang w:val="en-GB"/>
        </w:rPr>
        <w:t>lactate–pyruvate</w:t>
      </w:r>
      <w:r w:rsidRPr="00E967CF">
        <w:rPr>
          <w:lang w:val="en-GB"/>
        </w:rPr>
        <w:t xml:space="preserve"> regression lines </w:t>
      </w:r>
      <w:r w:rsidR="008D2F86" w:rsidRPr="00E967CF">
        <w:rPr>
          <w:lang w:val="en-GB"/>
        </w:rPr>
        <w:t xml:space="preserve">shifting in </w:t>
      </w:r>
      <w:r w:rsidR="005979B7" w:rsidRPr="00E967CF">
        <w:rPr>
          <w:lang w:val="en-GB"/>
        </w:rPr>
        <w:t>gradient</w:t>
      </w:r>
      <w:r w:rsidR="008D2F86" w:rsidRPr="00E967CF">
        <w:rPr>
          <w:lang w:val="en-GB"/>
        </w:rPr>
        <w:t xml:space="preserve"> about</w:t>
      </w:r>
      <w:r w:rsidRPr="00E967CF">
        <w:rPr>
          <w:lang w:val="en-GB"/>
        </w:rPr>
        <w:t xml:space="preserve"> a central point. </w:t>
      </w:r>
      <w:r w:rsidR="0078650F" w:rsidRPr="00E967CF">
        <w:rPr>
          <w:lang w:val="en-GB"/>
        </w:rPr>
        <w:t>Given</w:t>
      </w:r>
      <w:r w:rsidRPr="00E967CF">
        <w:rPr>
          <w:lang w:val="en-GB"/>
        </w:rPr>
        <w:t xml:space="preserve"> LPR = </w:t>
      </w:r>
      <w:r w:rsidRPr="00E967CF">
        <w:rPr>
          <w:i/>
          <w:iCs/>
          <w:lang w:val="en-GB"/>
        </w:rPr>
        <w:t>m</w:t>
      </w:r>
      <w:r w:rsidRPr="00E967CF">
        <w:rPr>
          <w:lang w:val="en-GB"/>
        </w:rPr>
        <w:t xml:space="preserve"> + </w:t>
      </w:r>
      <w:r w:rsidRPr="00E967CF">
        <w:rPr>
          <w:i/>
          <w:iCs/>
          <w:lang w:val="en-GB"/>
        </w:rPr>
        <w:t>b</w:t>
      </w:r>
      <w:r w:rsidRPr="00E967CF">
        <w:rPr>
          <w:lang w:val="en-GB"/>
        </w:rPr>
        <w:t>/P</w:t>
      </w:r>
      <w:r w:rsidR="0078650F" w:rsidRPr="00E967CF">
        <w:rPr>
          <w:lang w:val="en-GB"/>
        </w:rPr>
        <w:t xml:space="preserve"> (Equation 6)</w:t>
      </w:r>
      <w:r w:rsidRPr="00E967CF">
        <w:rPr>
          <w:lang w:val="en-GB"/>
        </w:rPr>
        <w:t xml:space="preserve">, this opposing change in </w:t>
      </w:r>
      <w:r w:rsidR="0056761E" w:rsidRPr="00E967CF">
        <w:rPr>
          <w:i/>
          <w:iCs/>
          <w:lang w:val="en-GB"/>
        </w:rPr>
        <w:t>b</w:t>
      </w:r>
      <w:r w:rsidRPr="00E967CF">
        <w:rPr>
          <w:lang w:val="en-GB"/>
        </w:rPr>
        <w:t xml:space="preserve"> partially cancels the effect of higher </w:t>
      </w:r>
      <w:r w:rsidRPr="00E967CF">
        <w:rPr>
          <w:i/>
          <w:iCs/>
          <w:lang w:val="en-GB"/>
        </w:rPr>
        <w:t>m</w:t>
      </w:r>
      <w:r w:rsidRPr="00E967CF">
        <w:rPr>
          <w:lang w:val="en-GB"/>
        </w:rPr>
        <w:t xml:space="preserve"> on the LPR. </w:t>
      </w:r>
      <w:r w:rsidR="00C33BC3" w:rsidRPr="00E967CF">
        <w:rPr>
          <w:lang w:val="en-GB"/>
        </w:rPr>
        <w:t xml:space="preserve">To illustrate: given the median intra-patient range of </w:t>
      </w:r>
      <w:r w:rsidR="00C33BC3" w:rsidRPr="00E967CF">
        <w:rPr>
          <w:i/>
          <w:iCs/>
          <w:lang w:val="en-GB"/>
        </w:rPr>
        <w:t>m</w:t>
      </w:r>
      <w:r w:rsidR="00C33BC3" w:rsidRPr="00E967CF">
        <w:rPr>
          <w:lang w:val="en-GB"/>
        </w:rPr>
        <w:t xml:space="preserve"> (12.28 units), the </w:t>
      </w:r>
      <w:r w:rsidR="00C33BC3" w:rsidRPr="00E967CF">
        <w:rPr>
          <w:i/>
          <w:iCs/>
          <w:lang w:val="en-GB"/>
        </w:rPr>
        <w:t>m</w:t>
      </w:r>
      <w:r w:rsidR="00C33BC3" w:rsidRPr="00E967CF">
        <w:rPr>
          <w:lang w:val="en-GB"/>
        </w:rPr>
        <w:t>–</w:t>
      </w:r>
      <w:r w:rsidR="00C33BC3" w:rsidRPr="00E967CF">
        <w:rPr>
          <w:i/>
          <w:iCs/>
          <w:lang w:val="en-GB"/>
        </w:rPr>
        <w:t>b</w:t>
      </w:r>
      <w:r w:rsidR="00C33BC3" w:rsidRPr="00E967CF">
        <w:rPr>
          <w:lang w:val="en-GB"/>
        </w:rPr>
        <w:t xml:space="preserve"> coupling predicts a compensatory decrease in </w:t>
      </w:r>
      <w:r w:rsidR="00C33BC3" w:rsidRPr="00E967CF">
        <w:rPr>
          <w:i/>
          <w:iCs/>
          <w:lang w:val="en-GB"/>
        </w:rPr>
        <w:t>b</w:t>
      </w:r>
      <w:r w:rsidR="00C33BC3" w:rsidRPr="00E967CF">
        <w:rPr>
          <w:lang w:val="en-GB"/>
        </w:rPr>
        <w:t xml:space="preserve"> of approximately 1.19 mM. At a typical TBI cerebral pyruvate concentration (133 µM),</w:t>
      </w:r>
      <w:r w:rsidR="003F134B" w:rsidRPr="00E967CF">
        <w:rPr>
          <w:vertAlign w:val="superscript"/>
          <w:lang w:val="en-GB"/>
        </w:rPr>
        <w:t>12</w:t>
      </w:r>
      <w:r w:rsidR="00C33BC3" w:rsidRPr="00E967CF">
        <w:rPr>
          <w:lang w:val="en-GB"/>
        </w:rPr>
        <w:t xml:space="preserve"> this opposing shift in </w:t>
      </w:r>
      <w:r w:rsidR="00C33BC3" w:rsidRPr="00E967CF">
        <w:rPr>
          <w:i/>
          <w:iCs/>
          <w:lang w:val="en-GB"/>
        </w:rPr>
        <w:t>b</w:t>
      </w:r>
      <w:r w:rsidR="00C33BC3" w:rsidRPr="00E967CF">
        <w:rPr>
          <w:lang w:val="en-GB"/>
        </w:rPr>
        <w:t xml:space="preserve"> absorbs approximately 7</w:t>
      </w:r>
      <w:r w:rsidR="00073942" w:rsidRPr="00E967CF">
        <w:rPr>
          <w:lang w:val="en-GB"/>
        </w:rPr>
        <w:t>3</w:t>
      </w:r>
      <w:r w:rsidR="00C33BC3" w:rsidRPr="00E967CF">
        <w:rPr>
          <w:lang w:val="en-GB"/>
        </w:rPr>
        <w:t xml:space="preserve">% of the change in </w:t>
      </w:r>
      <w:r w:rsidR="00C33BC3" w:rsidRPr="00E967CF">
        <w:rPr>
          <w:i/>
          <w:iCs/>
          <w:lang w:val="en-GB"/>
        </w:rPr>
        <w:t>m</w:t>
      </w:r>
      <w:r w:rsidR="00C33BC3" w:rsidRPr="00E967CF">
        <w:rPr>
          <w:lang w:val="en-GB"/>
        </w:rPr>
        <w:t xml:space="preserve"> (predicted ΔLPR </w:t>
      </w:r>
      <w:r w:rsidR="0008236F" w:rsidRPr="00E967CF">
        <w:rPr>
          <w:lang w:val="en-GB"/>
        </w:rPr>
        <w:t>=</w:t>
      </w:r>
      <w:r w:rsidR="00C33BC3" w:rsidRPr="00E967CF">
        <w:rPr>
          <w:lang w:val="en-GB"/>
        </w:rPr>
        <w:t xml:space="preserve"> 3.</w:t>
      </w:r>
      <w:r w:rsidR="00073942" w:rsidRPr="00E967CF">
        <w:rPr>
          <w:lang w:val="en-GB"/>
        </w:rPr>
        <w:t>3</w:t>
      </w:r>
      <w:r w:rsidR="0008236F" w:rsidRPr="00E967CF">
        <w:rPr>
          <w:lang w:val="en-GB"/>
        </w:rPr>
        <w:t>3</w:t>
      </w:r>
      <w:r w:rsidR="00C33BC3" w:rsidRPr="00E967CF">
        <w:rPr>
          <w:lang w:val="en-GB"/>
        </w:rPr>
        <w:t xml:space="preserve"> vs. Δ</w:t>
      </w:r>
      <w:r w:rsidR="00C33BC3" w:rsidRPr="00E967CF">
        <w:rPr>
          <w:i/>
          <w:iCs/>
          <w:lang w:val="en-GB"/>
        </w:rPr>
        <w:t>m</w:t>
      </w:r>
      <w:r w:rsidR="00C33BC3" w:rsidRPr="00E967CF">
        <w:rPr>
          <w:lang w:val="en-GB"/>
        </w:rPr>
        <w:t xml:space="preserve"> = 12.28), consistent with the observed β = 0.255.</w:t>
      </w:r>
      <w:r w:rsidRPr="00E967CF">
        <w:rPr>
          <w:lang w:val="en-GB"/>
        </w:rPr>
        <w:t xml:space="preserve"> Between segments, the </w:t>
      </w:r>
      <w:r w:rsidR="005979B7" w:rsidRPr="00E967CF">
        <w:rPr>
          <w:lang w:val="en-GB"/>
        </w:rPr>
        <w:t>gradient</w:t>
      </w:r>
      <w:r w:rsidRPr="00E967CF">
        <w:rPr>
          <w:lang w:val="en-GB"/>
        </w:rPr>
        <w:t xml:space="preserve"> was robustly and negatively associated with glucose, consistent with the expected physiological response to substrate limitation. The LPR showed a stronger negative association with glucose than the </w:t>
      </w:r>
      <w:r w:rsidR="005979B7" w:rsidRPr="00E967CF">
        <w:rPr>
          <w:lang w:val="en-GB"/>
        </w:rPr>
        <w:t>gradient</w:t>
      </w:r>
      <w:r w:rsidRPr="00E967CF">
        <w:rPr>
          <w:lang w:val="en-GB"/>
        </w:rPr>
        <w:t xml:space="preserve"> itself, </w:t>
      </w:r>
      <w:r w:rsidR="00DF690F" w:rsidRPr="00E967CF">
        <w:rPr>
          <w:lang w:val="en-GB"/>
        </w:rPr>
        <w:t xml:space="preserve">the disproportionate response </w:t>
      </w:r>
      <w:r w:rsidRPr="00E967CF">
        <w:rPr>
          <w:lang w:val="en-GB"/>
        </w:rPr>
        <w:t xml:space="preserve">reflecting the </w:t>
      </w:r>
      <w:r w:rsidR="00913BDE" w:rsidRPr="00E967CF">
        <w:rPr>
          <w:lang w:val="en-GB"/>
        </w:rPr>
        <w:t>summation</w:t>
      </w:r>
      <w:r w:rsidRPr="00E967CF">
        <w:rPr>
          <w:lang w:val="en-GB"/>
        </w:rPr>
        <w:t xml:space="preserve"> of the true physiological signal with the substrate-dependent artefact in the majority Type P</w:t>
      </w:r>
      <w:r w:rsidRPr="00E967CF">
        <w:rPr>
          <w:i/>
          <w:iCs/>
          <w:vertAlign w:val="subscript"/>
          <w:lang w:val="en-GB"/>
        </w:rPr>
        <w:t>b</w:t>
      </w:r>
      <w:r w:rsidRPr="00E967CF">
        <w:rPr>
          <w:lang w:val="en-GB"/>
        </w:rPr>
        <w:t xml:space="preserve"> segments.</w:t>
      </w:r>
    </w:p>
    <w:p w14:paraId="715ED688" w14:textId="225ECE0D" w:rsidR="001F55EA" w:rsidRPr="00E967CF" w:rsidRDefault="00657564" w:rsidP="001F55EA">
      <w:pPr>
        <w:rPr>
          <w:lang w:val="en-GB"/>
        </w:rPr>
      </w:pPr>
      <w:r w:rsidRPr="00E967CF">
        <w:rPr>
          <w:lang w:val="en-GB"/>
        </w:rPr>
        <w:t xml:space="preserve">The clinical relevance of the </w:t>
      </w:r>
      <w:r w:rsidR="005979B7" w:rsidRPr="00E967CF">
        <w:rPr>
          <w:lang w:val="en-GB"/>
        </w:rPr>
        <w:t>gradient</w:t>
      </w:r>
      <w:r w:rsidRPr="00E967CF">
        <w:rPr>
          <w:lang w:val="en-GB"/>
        </w:rPr>
        <w:t xml:space="preserve"> was established by its significant association with 6-month functional outcome. Higher </w:t>
      </w:r>
      <w:r w:rsidR="005979B7" w:rsidRPr="00E967CF">
        <w:rPr>
          <w:lang w:val="en-GB"/>
        </w:rPr>
        <w:t>gradient</w:t>
      </w:r>
      <w:r w:rsidRPr="00E967CF">
        <w:rPr>
          <w:lang w:val="en-GB"/>
        </w:rPr>
        <w:t xml:space="preserve">s were associated with worse outcomes across a consistent monotonic gradient from Good recovery to Death. In contrast, the LPR–outcome association was driven primarily by the mortality group, with surviving outcome categories clustering together. The intercept showed no association with outcome, consistent with its role as an empirical adjustment parameter. Together, these findings position the </w:t>
      </w:r>
      <w:r w:rsidR="005979B7" w:rsidRPr="00E967CF">
        <w:rPr>
          <w:lang w:val="en-GB"/>
        </w:rPr>
        <w:t>gradient</w:t>
      </w:r>
      <w:r w:rsidRPr="00E967CF">
        <w:rPr>
          <w:lang w:val="en-GB"/>
        </w:rPr>
        <w:t xml:space="preserve"> as an outcome-associated, physiologically grounded metric that the LPR, in its current clinical use, only imperfectly approximates.</w:t>
      </w:r>
    </w:p>
    <w:p w14:paraId="5E590C0D" w14:textId="387E49F4" w:rsidR="001F55EA" w:rsidRPr="00E967CF" w:rsidRDefault="001F55EA" w:rsidP="001F55EA">
      <w:pPr>
        <w:rPr>
          <w:lang w:val="en-GB"/>
        </w:rPr>
      </w:pPr>
      <w:r w:rsidRPr="00E967CF">
        <w:rPr>
          <w:lang w:val="en-GB"/>
        </w:rPr>
        <w:t xml:space="preserve">External validation in an independent TBI cohort from Uppsala University Hospital (81 patients) confirmed several key findings. The segmentation pipeline produced comparable results (92.7% segment retention, median 2 segments per patient, median R² = 0.66), and within-patient variation in the </w:t>
      </w:r>
      <w:r w:rsidR="005979B7" w:rsidRPr="00E967CF">
        <w:rPr>
          <w:lang w:val="en-GB"/>
        </w:rPr>
        <w:t>gradient</w:t>
      </w:r>
      <w:r w:rsidRPr="00E967CF">
        <w:rPr>
          <w:lang w:val="en-GB"/>
        </w:rPr>
        <w:t xml:space="preserve"> was remarkably similar across cohorts (median range 11.36 vs. 12.28 in Cambridge). The </w:t>
      </w:r>
      <w:r w:rsidR="00983C28" w:rsidRPr="00E967CF">
        <w:rPr>
          <w:lang w:val="en-GB"/>
        </w:rPr>
        <w:t>dampened</w:t>
      </w:r>
      <w:r w:rsidRPr="00E967CF">
        <w:rPr>
          <w:lang w:val="en-GB"/>
        </w:rPr>
        <w:t xml:space="preserve"> tracking of </w:t>
      </w:r>
      <w:r w:rsidRPr="00E967CF">
        <w:rPr>
          <w:i/>
          <w:iCs/>
          <w:lang w:val="en-GB"/>
        </w:rPr>
        <w:t>m</w:t>
      </w:r>
      <w:r w:rsidRPr="00E967CF">
        <w:rPr>
          <w:lang w:val="en-GB"/>
        </w:rPr>
        <w:t xml:space="preserve"> by LPR was replicated (β = 0.140 vs. 0.255), with the heavier attenuation in the Uppsala cohort consistent with its stronger negative </w:t>
      </w:r>
      <w:r w:rsidRPr="00E967CF">
        <w:rPr>
          <w:i/>
          <w:iCs/>
          <w:lang w:val="en-GB"/>
        </w:rPr>
        <w:t>m</w:t>
      </w:r>
      <w:r w:rsidR="00C33FF3" w:rsidRPr="00E967CF">
        <w:rPr>
          <w:lang w:val="en-GB"/>
        </w:rPr>
        <w:t>–</w:t>
      </w:r>
      <w:r w:rsidR="00C33FF3" w:rsidRPr="00E967CF">
        <w:rPr>
          <w:i/>
          <w:iCs/>
          <w:lang w:val="en-GB"/>
        </w:rPr>
        <w:t>b</w:t>
      </w:r>
      <w:r w:rsidRPr="00E967CF">
        <w:rPr>
          <w:lang w:val="en-GB"/>
        </w:rPr>
        <w:t xml:space="preserve"> coupling (β = -0.142 vs. -0.097). The </w:t>
      </w:r>
      <w:r w:rsidR="0072131A" w:rsidRPr="00E967CF">
        <w:rPr>
          <w:i/>
          <w:iCs/>
          <w:lang w:val="en-GB"/>
        </w:rPr>
        <w:t>m</w:t>
      </w:r>
      <w:r w:rsidRPr="00E967CF">
        <w:rPr>
          <w:lang w:val="en-GB"/>
        </w:rPr>
        <w:t xml:space="preserve">–glucose association was </w:t>
      </w:r>
      <w:r w:rsidRPr="00E967CF">
        <w:rPr>
          <w:lang w:val="en-GB"/>
        </w:rPr>
        <w:lastRenderedPageBreak/>
        <w:t xml:space="preserve">replicated (β = -1.20, </w:t>
      </w:r>
      <w:r w:rsidRPr="00E967CF">
        <w:rPr>
          <w:i/>
          <w:iCs/>
          <w:lang w:val="en-GB"/>
        </w:rPr>
        <w:t>p</w:t>
      </w:r>
      <w:r w:rsidRPr="00E967CF">
        <w:rPr>
          <w:lang w:val="en-GB"/>
        </w:rPr>
        <w:t xml:space="preserve"> = 0.022), independently confirming that the </w:t>
      </w:r>
      <w:r w:rsidR="005979B7" w:rsidRPr="00E967CF">
        <w:rPr>
          <w:lang w:val="en-GB"/>
        </w:rPr>
        <w:t>gradient</w:t>
      </w:r>
      <w:r w:rsidRPr="00E967CF">
        <w:rPr>
          <w:lang w:val="en-GB"/>
        </w:rPr>
        <w:t xml:space="preserve"> is negatively associated with substrate availability. </w:t>
      </w:r>
      <w:r w:rsidR="00FB7BCD" w:rsidRPr="00E967CF">
        <w:rPr>
          <w:lang w:val="en-GB"/>
        </w:rPr>
        <w:t>The w</w:t>
      </w:r>
      <w:r w:rsidRPr="00E967CF">
        <w:rPr>
          <w:lang w:val="en-GB"/>
        </w:rPr>
        <w:t xml:space="preserve">ithin-segment LPR–glucose </w:t>
      </w:r>
      <w:r w:rsidR="00FB7BCD" w:rsidRPr="00E967CF">
        <w:rPr>
          <w:lang w:val="en-GB"/>
        </w:rPr>
        <w:t>association was</w:t>
      </w:r>
      <w:r w:rsidRPr="00E967CF">
        <w:rPr>
          <w:lang w:val="en-GB"/>
        </w:rPr>
        <w:t xml:space="preserve"> only significant in Type P</w:t>
      </w:r>
      <w:r w:rsidRPr="00E967CF">
        <w:rPr>
          <w:i/>
          <w:iCs/>
          <w:vertAlign w:val="subscript"/>
          <w:lang w:val="en-GB"/>
        </w:rPr>
        <w:t>b</w:t>
      </w:r>
      <w:r w:rsidRPr="00E967CF">
        <w:rPr>
          <w:lang w:val="en-GB"/>
        </w:rPr>
        <w:t xml:space="preserve"> segments and did not reach significance in Type N</w:t>
      </w:r>
      <w:r w:rsidRPr="00E967CF">
        <w:rPr>
          <w:i/>
          <w:vertAlign w:val="subscript"/>
          <w:lang w:val="en-GB"/>
        </w:rPr>
        <w:t>b</w:t>
      </w:r>
      <w:r w:rsidRPr="00E967CF">
        <w:rPr>
          <w:lang w:val="en-GB"/>
        </w:rPr>
        <w:t xml:space="preserve"> segments (p = 0.090), possibly due to the smaller sample of N</w:t>
      </w:r>
      <w:r w:rsidRPr="00E967CF">
        <w:rPr>
          <w:i/>
          <w:iCs/>
          <w:vertAlign w:val="subscript"/>
          <w:lang w:val="en-GB"/>
        </w:rPr>
        <w:t>b</w:t>
      </w:r>
      <w:r w:rsidRPr="00E967CF">
        <w:rPr>
          <w:lang w:val="en-GB"/>
        </w:rPr>
        <w:t xml:space="preserve"> segments. The outcome association did not reach significance in the external cohort for LPR</w:t>
      </w:r>
      <w:r w:rsidR="00123E48" w:rsidRPr="00E967CF">
        <w:rPr>
          <w:lang w:val="en-GB"/>
        </w:rPr>
        <w:t xml:space="preserve"> or </w:t>
      </w:r>
      <w:r w:rsidR="00123E48" w:rsidRPr="00E967CF">
        <w:rPr>
          <w:i/>
          <w:iCs/>
          <w:lang w:val="en-GB"/>
        </w:rPr>
        <w:t>m</w:t>
      </w:r>
      <w:r w:rsidRPr="00E967CF">
        <w:rPr>
          <w:lang w:val="en-GB"/>
        </w:rPr>
        <w:t>. This is most likely attributable to the smaller sample size (69 patients with outcome data,</w:t>
      </w:r>
      <w:r w:rsidR="00BC4E32" w:rsidRPr="00E967CF">
        <w:rPr>
          <w:lang w:val="en-GB"/>
        </w:rPr>
        <w:t xml:space="preserve"> </w:t>
      </w:r>
      <w:r w:rsidRPr="00E967CF">
        <w:rPr>
          <w:lang w:val="en-GB"/>
        </w:rPr>
        <w:t>compared to 476 patients in the Cambridge cohort), which provided insufficient statistical power to detect the effect sizes observed in the primary analysis. Despite this limitation, the consistent replication of the framework's structural, physiological, and methodological findings across two independent centres and datasets strengthens confidence in its generali</w:t>
      </w:r>
      <w:r w:rsidR="003964AC">
        <w:rPr>
          <w:lang w:val="en-GB"/>
        </w:rPr>
        <w:t>s</w:t>
      </w:r>
      <w:r w:rsidRPr="00E967CF">
        <w:rPr>
          <w:lang w:val="en-GB"/>
        </w:rPr>
        <w:t>ability.</w:t>
      </w:r>
    </w:p>
    <w:p w14:paraId="49299916" w14:textId="468B856A" w:rsidR="004614E9" w:rsidRPr="00E967CF" w:rsidRDefault="004614E9" w:rsidP="001F55EA">
      <w:pPr>
        <w:rPr>
          <w:lang w:val="en-GB"/>
        </w:rPr>
      </w:pPr>
      <w:r w:rsidRPr="00E967CF">
        <w:rPr>
          <w:lang w:val="en-GB"/>
        </w:rPr>
        <w:t xml:space="preserve">The </w:t>
      </w:r>
      <w:r w:rsidRPr="00E967CF">
        <w:rPr>
          <w:i/>
          <w:iCs/>
          <w:lang w:val="en-GB"/>
        </w:rPr>
        <w:t>in vitro</w:t>
      </w:r>
      <w:r w:rsidRPr="00E967CF">
        <w:rPr>
          <w:lang w:val="en-GB"/>
        </w:rPr>
        <w:t xml:space="preserve"> validation provided direct evidence linking the </w:t>
      </w:r>
      <w:r w:rsidR="005979B7" w:rsidRPr="00E967CF">
        <w:rPr>
          <w:lang w:val="en-GB"/>
        </w:rPr>
        <w:t>gradient</w:t>
      </w:r>
      <w:r w:rsidRPr="00E967CF">
        <w:rPr>
          <w:lang w:val="en-GB"/>
        </w:rPr>
        <w:t xml:space="preserve"> to mitochondrial dysfunction. ETC inhibition via rotenone more than doubled the lactate–pyruvate </w:t>
      </w:r>
      <w:r w:rsidR="005979B7" w:rsidRPr="00E967CF">
        <w:rPr>
          <w:lang w:val="en-GB"/>
        </w:rPr>
        <w:t>gradient</w:t>
      </w:r>
      <w:r w:rsidRPr="00E967CF">
        <w:rPr>
          <w:lang w:val="en-GB"/>
        </w:rPr>
        <w:t xml:space="preserve"> in hiPSC-derived neurons (from 14.2 to 32.9), confirming that compromised mitochondrial function drives an increase in </w:t>
      </w:r>
      <w:r w:rsidRPr="00E967CF">
        <w:rPr>
          <w:i/>
          <w:iCs/>
          <w:lang w:val="en-GB"/>
        </w:rPr>
        <w:t>m</w:t>
      </w:r>
      <w:r w:rsidRPr="00E967CF">
        <w:rPr>
          <w:lang w:val="en-GB"/>
        </w:rPr>
        <w:t xml:space="preserve">. Notably, the intercept remained near zero in both conditions, suggesting that in a controlled cellular environment without the complexity of the in vivo extracellular milieu, the </w:t>
      </w:r>
      <w:r w:rsidR="008024BB">
        <w:rPr>
          <w:lang w:val="en-GB"/>
        </w:rPr>
        <w:t>idealis</w:t>
      </w:r>
      <w:r w:rsidRPr="00E967CF">
        <w:rPr>
          <w:lang w:val="en-GB"/>
        </w:rPr>
        <w:t xml:space="preserve">ed model (L = </w:t>
      </w:r>
      <w:r w:rsidRPr="00E967CF">
        <w:rPr>
          <w:i/>
          <w:iCs/>
          <w:lang w:val="en-GB"/>
        </w:rPr>
        <w:t>m</w:t>
      </w:r>
      <w:r w:rsidRPr="00E967CF">
        <w:rPr>
          <w:lang w:val="en-GB"/>
        </w:rPr>
        <w:t xml:space="preserve">P, Equation 4) is a close approximation. Together with the in vivo glucose association, these findings provide complementary evidence that the </w:t>
      </w:r>
      <w:r w:rsidR="005979B7" w:rsidRPr="00E967CF">
        <w:rPr>
          <w:lang w:val="en-GB"/>
        </w:rPr>
        <w:t>gradient</w:t>
      </w:r>
      <w:r w:rsidRPr="00E967CF">
        <w:rPr>
          <w:lang w:val="en-GB"/>
        </w:rPr>
        <w:t xml:space="preserve"> captures the metabolic response to two of the primary drivers of secondary injury in TBI: substrate limitation and mitochondrial dysfunction.</w:t>
      </w:r>
    </w:p>
    <w:p w14:paraId="1930371A" w14:textId="3A268C13" w:rsidR="001F55EA" w:rsidRPr="00E967CF" w:rsidRDefault="001F55EA" w:rsidP="001F55EA">
      <w:pPr>
        <w:rPr>
          <w:lang w:val="en-GB"/>
        </w:rPr>
      </w:pPr>
      <w:r w:rsidRPr="00E967CF">
        <w:rPr>
          <w:lang w:val="en-GB"/>
        </w:rPr>
        <w:t xml:space="preserve">This study has </w:t>
      </w:r>
      <w:r w:rsidR="00D82A9C" w:rsidRPr="00E967CF">
        <w:rPr>
          <w:lang w:val="en-GB"/>
        </w:rPr>
        <w:t>inherent</w:t>
      </w:r>
      <w:r w:rsidRPr="00E967CF">
        <w:rPr>
          <w:lang w:val="en-GB"/>
        </w:rPr>
        <w:t xml:space="preserve"> limitations. First, our framework is retrospective: identifying linear segments requires sufficient data over time, and the accuracy of segment-level parameters depends on the duration and stability of the underlying trend. Real-time elucidation of linear trends at the bedside currently lacks feasibility with standard hourly CMD sampling. Higher-frequency or continuous monitoring may enable online </w:t>
      </w:r>
      <w:r w:rsidR="005979B7" w:rsidRPr="00E967CF">
        <w:rPr>
          <w:lang w:val="en-GB"/>
        </w:rPr>
        <w:t>gradient</w:t>
      </w:r>
      <w:r w:rsidRPr="00E967CF">
        <w:rPr>
          <w:lang w:val="en-GB"/>
        </w:rPr>
        <w:t xml:space="preserve"> tracking in the future, but purpose-built algorithms for real-time changepoint detection remain to be developed. Second, our analysis focused exclusively on segments with positive </w:t>
      </w:r>
      <w:r w:rsidR="005979B7" w:rsidRPr="00E967CF">
        <w:rPr>
          <w:lang w:val="en-GB"/>
        </w:rPr>
        <w:t>gradient</w:t>
      </w:r>
      <w:r w:rsidRPr="00E967CF">
        <w:rPr>
          <w:lang w:val="en-GB"/>
        </w:rPr>
        <w:t>s (</w:t>
      </w:r>
      <w:r w:rsidRPr="00E967CF">
        <w:rPr>
          <w:i/>
          <w:iCs/>
          <w:lang w:val="en-GB"/>
        </w:rPr>
        <w:t>m</w:t>
      </w:r>
      <w:r w:rsidRPr="00E967CF">
        <w:rPr>
          <w:lang w:val="en-GB"/>
        </w:rPr>
        <w:t xml:space="preserve"> &gt; 0); while this decision was theoretically motivated by the LDH equilibrium and the non-positive segments (8.6% of all segments) are likely artefactual (as discussed above), this filtering means a small proportion of monitoring time is excluded from downstream analyses. </w:t>
      </w:r>
      <w:r w:rsidR="0047031B" w:rsidRPr="00E967CF">
        <w:rPr>
          <w:lang w:val="en-GB"/>
        </w:rPr>
        <w:t xml:space="preserve">Third, the </w:t>
      </w:r>
      <w:r w:rsidR="0047031B" w:rsidRPr="00E967CF">
        <w:rPr>
          <w:i/>
          <w:iCs/>
          <w:lang w:val="en-GB"/>
        </w:rPr>
        <w:t>in vitro</w:t>
      </w:r>
      <w:r w:rsidR="0047031B" w:rsidRPr="00E967CF">
        <w:rPr>
          <w:lang w:val="en-GB"/>
        </w:rPr>
        <w:t xml:space="preserve"> model, while providing evidence for the </w:t>
      </w:r>
      <w:r w:rsidR="005979B7" w:rsidRPr="00E967CF">
        <w:rPr>
          <w:lang w:val="en-GB"/>
        </w:rPr>
        <w:t>gradient</w:t>
      </w:r>
      <w:r w:rsidR="0047031B" w:rsidRPr="00E967CF">
        <w:rPr>
          <w:lang w:val="en-GB"/>
        </w:rPr>
        <w:t xml:space="preserve">–mitochondrial dysfunction link, does not </w:t>
      </w:r>
      <w:r w:rsidR="0044533D" w:rsidRPr="00E967CF">
        <w:rPr>
          <w:lang w:val="en-GB"/>
        </w:rPr>
        <w:t>wholly</w:t>
      </w:r>
      <w:r w:rsidR="0047031B" w:rsidRPr="00E967CF">
        <w:rPr>
          <w:lang w:val="en-GB"/>
        </w:rPr>
        <w:t xml:space="preserve"> </w:t>
      </w:r>
      <w:r w:rsidR="00171177" w:rsidRPr="00E967CF">
        <w:rPr>
          <w:lang w:val="en-GB"/>
        </w:rPr>
        <w:t>replicate</w:t>
      </w:r>
      <w:r w:rsidR="0047031B" w:rsidRPr="00E967CF">
        <w:rPr>
          <w:lang w:val="en-GB"/>
        </w:rPr>
        <w:t xml:space="preserve"> in vivo cytoarchitecture and lacks vascular and blood-brain barrier components; it employed a single cell type and inhibitor, and further studies using alternative models of metabolic stress would strengthen these findings.</w:t>
      </w:r>
      <w:r w:rsidRPr="00E967CF">
        <w:rPr>
          <w:lang w:val="en-GB"/>
        </w:rPr>
        <w:t xml:space="preserve"> Finally, while external validation </w:t>
      </w:r>
      <w:r w:rsidRPr="00E967CF">
        <w:rPr>
          <w:lang w:val="en-GB"/>
        </w:rPr>
        <w:lastRenderedPageBreak/>
        <w:t>confirmed most findings, the outcome association was not replicated in the Uppsala cohort, and further validation in larger independent cohorts is warranted.</w:t>
      </w:r>
    </w:p>
    <w:p w14:paraId="0AF5C664" w14:textId="34238C05" w:rsidR="00AE33A2" w:rsidRPr="00E967CF" w:rsidRDefault="001F55EA" w:rsidP="00285EA5">
      <w:pPr>
        <w:rPr>
          <w:lang w:val="en-GB"/>
        </w:rPr>
      </w:pPr>
      <w:r w:rsidRPr="00E967CF">
        <w:rPr>
          <w:lang w:val="en-GB"/>
        </w:rPr>
        <w:t xml:space="preserve">In conclusion, this study identifies the lactate–pyruvate </w:t>
      </w:r>
      <w:r w:rsidR="005979B7" w:rsidRPr="00E967CF">
        <w:rPr>
          <w:lang w:val="en-GB"/>
        </w:rPr>
        <w:t>gradient</w:t>
      </w:r>
      <w:r w:rsidRPr="00E967CF">
        <w:rPr>
          <w:lang w:val="en-GB"/>
        </w:rPr>
        <w:t xml:space="preserve"> as a novel CMD-derived metric that </w:t>
      </w:r>
      <w:r w:rsidR="00197EAE" w:rsidRPr="00E967CF">
        <w:rPr>
          <w:lang w:val="en-GB"/>
        </w:rPr>
        <w:t xml:space="preserve">more directly </w:t>
      </w:r>
      <w:r w:rsidRPr="00E967CF">
        <w:rPr>
          <w:lang w:val="en-GB"/>
        </w:rPr>
        <w:t>reflects the level of anaerobic cerebral metabolism</w:t>
      </w:r>
      <w:r w:rsidR="00106EED" w:rsidRPr="00E967CF">
        <w:rPr>
          <w:lang w:val="en-GB"/>
        </w:rPr>
        <w:t xml:space="preserve">; it is </w:t>
      </w:r>
      <w:r w:rsidR="004125E3" w:rsidRPr="00E967CF">
        <w:rPr>
          <w:lang w:val="en-GB"/>
        </w:rPr>
        <w:t>not subject to the substrate-dependent confounding that renders the LPR an unreliable proxy</w:t>
      </w:r>
      <w:r w:rsidRPr="00E967CF">
        <w:rPr>
          <w:lang w:val="en-GB"/>
        </w:rPr>
        <w:t xml:space="preserve">. The </w:t>
      </w:r>
      <w:r w:rsidR="004F1717" w:rsidRPr="00E967CF">
        <w:rPr>
          <w:lang w:val="en-GB"/>
        </w:rPr>
        <w:t>linear lactate–pyruvate relationship</w:t>
      </w:r>
      <w:r w:rsidRPr="00E967CF">
        <w:rPr>
          <w:lang w:val="en-GB"/>
        </w:rPr>
        <w:t xml:space="preserve"> is</w:t>
      </w:r>
      <w:r w:rsidR="00BE7B90" w:rsidRPr="00E967CF">
        <w:rPr>
          <w:lang w:val="en-GB"/>
        </w:rPr>
        <w:t xml:space="preserve"> </w:t>
      </w:r>
      <w:r w:rsidRPr="00E967CF">
        <w:rPr>
          <w:lang w:val="en-GB"/>
        </w:rPr>
        <w:t xml:space="preserve">validated across two independent clinical cohorts, outcome-associated, </w:t>
      </w:r>
      <w:r w:rsidR="00577F9F" w:rsidRPr="00E967CF">
        <w:rPr>
          <w:lang w:val="en-GB"/>
        </w:rPr>
        <w:t xml:space="preserve">and </w:t>
      </w:r>
      <w:r w:rsidRPr="00E967CF">
        <w:rPr>
          <w:lang w:val="en-GB"/>
        </w:rPr>
        <w:t xml:space="preserve">linked to mitochondrial dysfunction through </w:t>
      </w:r>
      <w:r w:rsidRPr="00E967CF">
        <w:rPr>
          <w:i/>
          <w:iCs/>
          <w:lang w:val="en-GB"/>
        </w:rPr>
        <w:t>in vitro</w:t>
      </w:r>
      <w:r w:rsidRPr="00E967CF">
        <w:rPr>
          <w:lang w:val="en-GB"/>
        </w:rPr>
        <w:t xml:space="preserve"> modelling. While currently best suited for retrospective analysis, this framework establishes a foundation for developing more precise, </w:t>
      </w:r>
      <w:r w:rsidR="00B40F23">
        <w:rPr>
          <w:lang w:val="en-GB"/>
        </w:rPr>
        <w:t>individualis</w:t>
      </w:r>
      <w:r w:rsidRPr="00E967CF">
        <w:rPr>
          <w:lang w:val="en-GB"/>
        </w:rPr>
        <w:t>ed approaches to monitoring and understanding cerebral metabolism after traumatic brain injury.</w:t>
      </w:r>
      <w:bookmarkStart w:id="37" w:name="_Hlk225879207"/>
      <w:bookmarkEnd w:id="34"/>
    </w:p>
    <w:p w14:paraId="1ADF4059" w14:textId="7641DDB4" w:rsidR="007354E5" w:rsidRPr="00E967CF" w:rsidRDefault="007354E5" w:rsidP="00205120">
      <w:pPr>
        <w:pStyle w:val="Heading1"/>
        <w:rPr>
          <w:lang w:val="en-GB"/>
        </w:rPr>
      </w:pPr>
      <w:r w:rsidRPr="00E967CF">
        <w:rPr>
          <w:lang w:val="en-GB"/>
        </w:rPr>
        <w:t>Acknowledgements</w:t>
      </w:r>
    </w:p>
    <w:p w14:paraId="4014AD16" w14:textId="14E8B92F" w:rsidR="003764DF" w:rsidRPr="00E967CF" w:rsidRDefault="00FB21BC" w:rsidP="00205120">
      <w:pPr>
        <w:rPr>
          <w:lang w:val="en-GB"/>
        </w:rPr>
      </w:pPr>
      <w:r w:rsidRPr="00E967CF">
        <w:rPr>
          <w:lang w:val="en-GB"/>
        </w:rPr>
        <w:t>We thank the patients at Addenbrooke’s Hospital and Uppsala University Hospital who took part in this research.</w:t>
      </w:r>
    </w:p>
    <w:p w14:paraId="7502C0FD" w14:textId="241144D1" w:rsidR="00704F42" w:rsidRPr="00E967CF" w:rsidRDefault="00704F42" w:rsidP="00205120">
      <w:pPr>
        <w:rPr>
          <w:lang w:val="en-GB"/>
        </w:rPr>
      </w:pPr>
      <w:r w:rsidRPr="00E967CF">
        <w:rPr>
          <w:lang w:val="en-GB"/>
        </w:rPr>
        <w:t>The authors acknowledge Professor Mike Murphy, FMedSci (MRC Mitochondrial Biology Unit, University of Cambridge) for his input and correspondence concerning the metabolic considerations of our proposed framework.</w:t>
      </w:r>
    </w:p>
    <w:p w14:paraId="2D57480B" w14:textId="7A22BE4B" w:rsidR="00C81F5C" w:rsidRPr="00E967CF" w:rsidRDefault="00CC1981" w:rsidP="00205120">
      <w:pPr>
        <w:rPr>
          <w:lang w:val="en-GB"/>
        </w:rPr>
      </w:pPr>
      <w:r w:rsidRPr="00E967CF">
        <w:rPr>
          <w:lang w:val="en-GB"/>
        </w:rPr>
        <w:t>MSB</w:t>
      </w:r>
      <w:r w:rsidR="00C81F5C" w:rsidRPr="00E967CF">
        <w:rPr>
          <w:lang w:val="en-GB"/>
        </w:rPr>
        <w:t xml:space="preserve"> </w:t>
      </w:r>
      <w:r w:rsidR="00975CC6" w:rsidRPr="00E967CF">
        <w:rPr>
          <w:lang w:val="en-GB"/>
        </w:rPr>
        <w:t>and</w:t>
      </w:r>
      <w:r w:rsidRPr="00E967CF">
        <w:rPr>
          <w:lang w:val="en-GB"/>
        </w:rPr>
        <w:t xml:space="preserve"> JMH</w:t>
      </w:r>
      <w:r w:rsidR="00975CC6" w:rsidRPr="00E967CF">
        <w:rPr>
          <w:lang w:val="en-GB"/>
        </w:rPr>
        <w:t xml:space="preserve"> are</w:t>
      </w:r>
      <w:r w:rsidR="0094239D" w:rsidRPr="00E967CF">
        <w:rPr>
          <w:lang w:val="en-GB"/>
        </w:rPr>
        <w:t xml:space="preserve"> supported </w:t>
      </w:r>
      <w:r w:rsidR="00C81F5C" w:rsidRPr="00E967CF">
        <w:rPr>
          <w:lang w:val="en-GB"/>
        </w:rPr>
        <w:t>by Gates Cambridge Scholarship</w:t>
      </w:r>
      <w:r w:rsidR="00130A37" w:rsidRPr="00E967CF">
        <w:rPr>
          <w:lang w:val="en-GB"/>
        </w:rPr>
        <w:t>s</w:t>
      </w:r>
      <w:r w:rsidR="00C81F5C" w:rsidRPr="00E967CF">
        <w:rPr>
          <w:lang w:val="en-GB"/>
        </w:rPr>
        <w:t xml:space="preserve"> from the Gates Cambridge Trust. </w:t>
      </w:r>
      <w:r w:rsidR="001304D1" w:rsidRPr="00E967CF">
        <w:rPr>
          <w:lang w:val="en-GB"/>
        </w:rPr>
        <w:t>KLHC</w:t>
      </w:r>
      <w:r w:rsidR="00AD1A11" w:rsidRPr="00E967CF">
        <w:rPr>
          <w:lang w:val="en-GB"/>
        </w:rPr>
        <w:t xml:space="preserve"> is supported by awards from NIHR Invention for Innovation (i4i), the Wellcome Trust Developing Concept Fund (DCF), the Rosetrees Trust, and the Addenbrooke’s Charitable Trust, Cambridge University Q14 Hospitals. </w:t>
      </w:r>
      <w:r w:rsidR="0008079C" w:rsidRPr="00E967CF">
        <w:rPr>
          <w:lang w:val="en-GB"/>
        </w:rPr>
        <w:t>ER is supported by Region Uppsala, Uppsala University Hospital, the Kjell och Märta Beijers stiftelse (Kjell and Märta Beijer Foundation), and the Swedish Research Council (project 2024-02725).</w:t>
      </w:r>
      <w:r w:rsidR="003E418C" w:rsidRPr="00E967CF">
        <w:rPr>
          <w:lang w:val="en-GB"/>
        </w:rPr>
        <w:t xml:space="preserve"> </w:t>
      </w:r>
      <w:r w:rsidR="009D2E85" w:rsidRPr="00E967CF">
        <w:rPr>
          <w:lang w:val="en-GB"/>
        </w:rPr>
        <w:t>PJH</w:t>
      </w:r>
      <w:r w:rsidR="00C81F5C" w:rsidRPr="00E967CF">
        <w:rPr>
          <w:lang w:val="en-GB"/>
        </w:rPr>
        <w:t xml:space="preserve"> </w:t>
      </w:r>
      <w:r w:rsidR="00787133" w:rsidRPr="00E967CF">
        <w:rPr>
          <w:lang w:val="en-GB"/>
        </w:rPr>
        <w:t>is supported by the NIHR (Senior Investigator Award, NIHR Global Health Research Group on Acquired Brain and Spine Injury, NIHR Health Tech Research Centre for Brain Injury, Cambridge Biomedical Research Centre)</w:t>
      </w:r>
      <w:r w:rsidR="00C81F5C" w:rsidRPr="00E967CF">
        <w:rPr>
          <w:lang w:val="en-GB"/>
        </w:rPr>
        <w:t xml:space="preserve"> and the Royal College of Surgeons of England.</w:t>
      </w:r>
      <w:r w:rsidR="00303456" w:rsidRPr="00E967CF">
        <w:rPr>
          <w:lang w:val="en-GB"/>
        </w:rPr>
        <w:t xml:space="preserve"> PJH and AH are supported by TBI Reporter (MRC, NIHR, Ministry of Defence, Alzheimer's Research UK).</w:t>
      </w:r>
      <w:r w:rsidR="00C81F5C" w:rsidRPr="00E967CF">
        <w:rPr>
          <w:lang w:val="en-GB"/>
        </w:rPr>
        <w:t xml:space="preserve"> </w:t>
      </w:r>
      <w:r w:rsidR="001233F7" w:rsidRPr="00E967CF">
        <w:rPr>
          <w:lang w:val="en-GB"/>
        </w:rPr>
        <w:t>AH</w:t>
      </w:r>
      <w:r w:rsidR="00C81F5C" w:rsidRPr="00E967CF">
        <w:rPr>
          <w:lang w:val="en-GB"/>
        </w:rPr>
        <w:t xml:space="preserve"> is supported by the </w:t>
      </w:r>
      <w:r w:rsidR="00F973E0" w:rsidRPr="00E967CF">
        <w:rPr>
          <w:lang w:val="en-GB"/>
        </w:rPr>
        <w:t>Medical Research Council/Royal College of Surgeons of England Clinical Research Training Fellowship (Grant no. G0802251), MRC Grants (MR/X021882/1, MR/Y008502/1, MR/Z504890/1), the NIHR Biomedical Research Centre and the NIHR Health Technology Research Centre</w:t>
      </w:r>
      <w:r w:rsidR="00C81F5C" w:rsidRPr="00E967CF">
        <w:rPr>
          <w:lang w:val="en-GB"/>
        </w:rPr>
        <w:t xml:space="preserve"> and NIHR Grant (NIHR129748). </w:t>
      </w:r>
      <w:r w:rsidR="007435F4" w:rsidRPr="00E967CF">
        <w:rPr>
          <w:lang w:val="en-GB"/>
        </w:rPr>
        <w:t xml:space="preserve">The views expressed are those of the authors and not necessarily those of the NIHR, the </w:t>
      </w:r>
      <w:r w:rsidR="007435F4" w:rsidRPr="00E967CF">
        <w:rPr>
          <w:lang w:val="en-GB"/>
        </w:rPr>
        <w:lastRenderedPageBreak/>
        <w:t>Department of Health and Social Care, or other supporting entities. The supporting entities had no role in study design, data collection and analysis, decision to publish, or preparation of the manuscript.</w:t>
      </w:r>
    </w:p>
    <w:p w14:paraId="4535CD5D" w14:textId="130C427F" w:rsidR="00A01DB2" w:rsidRDefault="00BD01C5" w:rsidP="00285EA5">
      <w:pPr>
        <w:rPr>
          <w:lang w:val="en-GB"/>
        </w:rPr>
      </w:pPr>
      <w:r w:rsidRPr="00E967CF">
        <w:rPr>
          <w:lang w:val="en-GB"/>
        </w:rPr>
        <w:t>Under author direction, large language models were used to assist in code and manuscript drafting. The authors reviewed all outputs and assume full responsibility for the work.</w:t>
      </w:r>
    </w:p>
    <w:p w14:paraId="0BE6E4F0" w14:textId="7D5B4FFE" w:rsidR="00F20D2C" w:rsidRDefault="00F20EF5" w:rsidP="00F20D2C">
      <w:pPr>
        <w:pStyle w:val="Heading1"/>
        <w:rPr>
          <w:lang w:val="en-GB"/>
        </w:rPr>
      </w:pPr>
      <w:bookmarkStart w:id="38" w:name="_Hlk225877519"/>
      <w:bookmarkStart w:id="39" w:name="_Hlk225877522"/>
      <w:r>
        <w:rPr>
          <w:lang w:val="en-GB"/>
        </w:rPr>
        <w:t>Author contributions</w:t>
      </w:r>
    </w:p>
    <w:p w14:paraId="51A3BE46" w14:textId="33E00094" w:rsidR="0060069B" w:rsidRDefault="00CF12FC" w:rsidP="00DD12F3">
      <w:pPr>
        <w:rPr>
          <w:lang w:val="en-GB"/>
        </w:rPr>
      </w:pPr>
      <w:r w:rsidRPr="00CF12FC">
        <w:rPr>
          <w:lang w:val="en-GB"/>
        </w:rPr>
        <w:t>Conceptualization: MSB, MRG. Data curation: MSB, JMH, TK, IT, MRG. Formal analysis: MSB. Investigation: MSB, JMH. Methodology: MSB, JMH. Project administration: MSB, JMH, AH. Resources: BB, IT, MK, MRG, ER, PJH, AH. Software: MSB. Supervision: CAS, CZ, KB, KLHC, MK, ER, PJH, AH. Validation: JMH, TK, ER. Visualization: MSB, JMH. Writing – original draft: MSB. Writing – review &amp; editing: all authors.</w:t>
      </w:r>
    </w:p>
    <w:p w14:paraId="00065C1B" w14:textId="2B1A3170" w:rsidR="00DD12F3" w:rsidRDefault="00DD12F3" w:rsidP="00DD12F3">
      <w:pPr>
        <w:pStyle w:val="Heading1"/>
        <w:rPr>
          <w:lang w:val="en-GB"/>
        </w:rPr>
      </w:pPr>
      <w:r>
        <w:rPr>
          <w:lang w:val="en-GB"/>
        </w:rPr>
        <w:t>Statements and declarations</w:t>
      </w:r>
    </w:p>
    <w:p w14:paraId="74E3CA7B" w14:textId="61DC97DD" w:rsidR="00DD12F3" w:rsidRPr="00E967CF" w:rsidRDefault="00DD12F3" w:rsidP="00D02A57">
      <w:pPr>
        <w:pStyle w:val="Heading2"/>
      </w:pPr>
      <w:bookmarkStart w:id="40" w:name="_Hlk225877926"/>
      <w:r>
        <w:t>Ethical considerations</w:t>
      </w:r>
    </w:p>
    <w:p w14:paraId="5B95C911" w14:textId="3382F480" w:rsidR="00DD12F3" w:rsidRPr="00DD12F3" w:rsidRDefault="004E138F" w:rsidP="00DD12F3">
      <w:pPr>
        <w:rPr>
          <w:lang w:val="en-GB"/>
        </w:rPr>
      </w:pPr>
      <w:r w:rsidRPr="004E138F">
        <w:rPr>
          <w:lang w:val="en-GB"/>
        </w:rPr>
        <w:t xml:space="preserve">This study was conducted in accordance with the Declaration of Helsinki. For the Cambridge cohort, the head injury research programme was approved by the Cambridge Local Research Ethics Committee (REC reference: 97/290; IRAS project ID: 39184) on December 5, 1997. Addenbrooke's Hospital's Research and Development Department also approved the study. For the Uppsala cohort, ethical approval was granted by the Uppsala County branch of the Swedish Ethical Review Authority (approval numbers: #2010/138, #2010/138/1, #2010/379, #2015/224, and #2020-05462). The </w:t>
      </w:r>
      <w:r w:rsidRPr="00CB7F1D">
        <w:rPr>
          <w:i/>
          <w:iCs/>
          <w:lang w:val="en-GB"/>
        </w:rPr>
        <w:t>in vitro</w:t>
      </w:r>
      <w:r w:rsidRPr="004E138F">
        <w:rPr>
          <w:lang w:val="en-GB"/>
        </w:rPr>
        <w:t xml:space="preserve"> component used human induced pluripotent stem cell-derived neurons and did not involve human participants; separate ethical approval was not required.</w:t>
      </w:r>
    </w:p>
    <w:p w14:paraId="1866C4A6" w14:textId="2279F25B" w:rsidR="00DD12F3" w:rsidRPr="00E967CF" w:rsidRDefault="00DD12F3" w:rsidP="00D02A57">
      <w:pPr>
        <w:pStyle w:val="Heading2"/>
      </w:pPr>
      <w:bookmarkStart w:id="41" w:name="_Hlk225877903"/>
      <w:bookmarkEnd w:id="40"/>
      <w:r>
        <w:t xml:space="preserve">Consent </w:t>
      </w:r>
      <w:r>
        <w:t>to</w:t>
      </w:r>
      <w:r>
        <w:t xml:space="preserve"> </w:t>
      </w:r>
      <w:r>
        <w:t>participate</w:t>
      </w:r>
    </w:p>
    <w:p w14:paraId="33E9845C" w14:textId="41EA97F5" w:rsidR="00F20D2C" w:rsidRPr="00E967CF" w:rsidRDefault="00DA419E" w:rsidP="00F20D2C">
      <w:pPr>
        <w:rPr>
          <w:lang w:val="en-GB"/>
        </w:rPr>
      </w:pPr>
      <w:r w:rsidRPr="00DA419E">
        <w:rPr>
          <w:lang w:val="en-GB"/>
        </w:rPr>
        <w:t>For the Cambridge cohort, informed consent was obtained from the next of kin or a legally authorised representative, in written or verbal form, with provision for deferred consent. For the Uppsala cohort, written informed consent was obtained from next-of-kin.</w:t>
      </w:r>
    </w:p>
    <w:p w14:paraId="64BAFCB6" w14:textId="14646FE1" w:rsidR="00DD12F3" w:rsidRPr="00E967CF" w:rsidRDefault="00DD12F3" w:rsidP="00D02A57">
      <w:pPr>
        <w:pStyle w:val="Heading2"/>
      </w:pPr>
      <w:bookmarkStart w:id="42" w:name="_Hlk225877886"/>
      <w:bookmarkEnd w:id="38"/>
      <w:bookmarkEnd w:id="41"/>
      <w:r>
        <w:lastRenderedPageBreak/>
        <w:t>Consent for publication</w:t>
      </w:r>
    </w:p>
    <w:p w14:paraId="166791B9" w14:textId="74956620" w:rsidR="00DD12F3" w:rsidRPr="00E967CF" w:rsidRDefault="004A112F" w:rsidP="00205120">
      <w:pPr>
        <w:rPr>
          <w:lang w:val="en-GB"/>
        </w:rPr>
      </w:pPr>
      <w:r w:rsidRPr="004A112F">
        <w:rPr>
          <w:lang w:val="en-GB"/>
        </w:rPr>
        <w:t>Not applicable. No individually identifiable patient data are presented; all data were anonymised.</w:t>
      </w:r>
      <w:bookmarkEnd w:id="42"/>
    </w:p>
    <w:bookmarkEnd w:id="39"/>
    <w:p w14:paraId="08A7FC92" w14:textId="616B7C5A" w:rsidR="00246232" w:rsidRPr="00E967CF" w:rsidRDefault="00F13633" w:rsidP="00D02A57">
      <w:pPr>
        <w:pStyle w:val="Heading2"/>
      </w:pPr>
      <w:r>
        <w:t>Declaration of conflicting interest</w:t>
      </w:r>
    </w:p>
    <w:p w14:paraId="2118F278" w14:textId="227BE1D9" w:rsidR="00B13DEA" w:rsidRPr="00E967CF" w:rsidRDefault="00633AAD" w:rsidP="00205120">
      <w:pPr>
        <w:rPr>
          <w:lang w:val="en-GB"/>
        </w:rPr>
      </w:pPr>
      <w:r w:rsidRPr="00633AAD">
        <w:rPr>
          <w:lang w:val="en-GB"/>
        </w:rPr>
        <w:t>The authors declared no potential conflicts of interest with respect to the research, authorship, and/or publication of this article.</w:t>
      </w:r>
    </w:p>
    <w:p w14:paraId="576E8F19" w14:textId="77777777" w:rsidR="009143B4" w:rsidRPr="00E967CF" w:rsidRDefault="009143B4" w:rsidP="00D02A57">
      <w:pPr>
        <w:pStyle w:val="Heading2"/>
      </w:pPr>
      <w:r w:rsidRPr="00E967CF">
        <w:t>Funding</w:t>
      </w:r>
      <w:r>
        <w:t xml:space="preserve"> statement</w:t>
      </w:r>
    </w:p>
    <w:p w14:paraId="47CCB2E7" w14:textId="0593FDDA" w:rsidR="009143B4" w:rsidRDefault="00B822A8" w:rsidP="009143B4">
      <w:pPr>
        <w:rPr>
          <w:lang w:val="en-GB"/>
        </w:rPr>
      </w:pPr>
      <w:r w:rsidRPr="00B822A8">
        <w:rPr>
          <w:lang w:val="en-GB"/>
        </w:rPr>
        <w:t>The author</w:t>
      </w:r>
      <w:r>
        <w:rPr>
          <w:lang w:val="en-GB"/>
        </w:rPr>
        <w:t>s</w:t>
      </w:r>
      <w:r w:rsidRPr="00B822A8">
        <w:rPr>
          <w:lang w:val="en-GB"/>
        </w:rPr>
        <w:t xml:space="preserve"> received no financial support for the research, authorship, and/or publication of this article.</w:t>
      </w:r>
    </w:p>
    <w:p w14:paraId="6227779F" w14:textId="16AEC3E7" w:rsidR="006C4202" w:rsidRPr="00E967CF" w:rsidRDefault="006C4202" w:rsidP="00D02A57">
      <w:pPr>
        <w:pStyle w:val="Heading2"/>
      </w:pPr>
      <w:r w:rsidRPr="00E967CF">
        <w:t>Data availability</w:t>
      </w:r>
    </w:p>
    <w:p w14:paraId="1F24ED8C" w14:textId="77777777" w:rsidR="006C4202" w:rsidRPr="00E967CF" w:rsidRDefault="006C4202" w:rsidP="006C4202">
      <w:pPr>
        <w:rPr>
          <w:lang w:val="en-GB"/>
        </w:rPr>
      </w:pPr>
      <w:bookmarkStart w:id="43" w:name="_Hlk205978146"/>
      <w:r w:rsidRPr="00E967CF">
        <w:rPr>
          <w:lang w:val="en-GB"/>
        </w:rPr>
        <w:t>Cambridge cohort: Consent obtained at the time of data collection (1997–2017) did not include provisions for unrestricted public data sharing. De-identified data are available to qualified researchers for ethically approved studies upon reasonable request, subject to a data use agreement. Requests should be directed to the Cambridge Neurochemistry Research Group, Division of Neurosurgery (</w:t>
      </w:r>
      <w:bookmarkStart w:id="44" w:name="_Hlk222233310"/>
      <w:r w:rsidRPr="00E967CF">
        <w:rPr>
          <w:lang w:val="en-GB"/>
        </w:rPr>
        <w:fldChar w:fldCharType="begin"/>
      </w:r>
      <w:r w:rsidRPr="00E967CF">
        <w:rPr>
          <w:lang w:val="en-GB"/>
        </w:rPr>
        <w:instrText>HYPERLINK "mailto:enquiries.neurochem@wbic.cam.ac.uk"</w:instrText>
      </w:r>
      <w:r w:rsidRPr="00E967CF">
        <w:rPr>
          <w:lang w:val="en-GB"/>
        </w:rPr>
      </w:r>
      <w:r w:rsidRPr="00E967CF">
        <w:rPr>
          <w:lang w:val="en-GB"/>
        </w:rPr>
        <w:fldChar w:fldCharType="separate"/>
      </w:r>
      <w:r w:rsidRPr="00E967CF">
        <w:rPr>
          <w:rStyle w:val="Hyperlink"/>
          <w:rFonts w:cstheme="minorBidi"/>
          <w:lang w:val="en-GB"/>
        </w:rPr>
        <w:t>enquiries.neurochem@wbic.cam.ac.uk</w:t>
      </w:r>
      <w:r w:rsidRPr="00E967CF">
        <w:rPr>
          <w:lang w:val="en-GB"/>
        </w:rPr>
        <w:fldChar w:fldCharType="end"/>
      </w:r>
      <w:bookmarkEnd w:id="44"/>
      <w:r w:rsidRPr="00E967CF">
        <w:rPr>
          <w:lang w:val="en-GB"/>
        </w:rPr>
        <w:t>).</w:t>
      </w:r>
    </w:p>
    <w:p w14:paraId="66B9E514" w14:textId="77777777" w:rsidR="006C4202" w:rsidRPr="00E967CF" w:rsidRDefault="006C4202" w:rsidP="006C4202">
      <w:pPr>
        <w:rPr>
          <w:lang w:val="en-GB"/>
        </w:rPr>
      </w:pPr>
      <w:r w:rsidRPr="00E967CF">
        <w:rPr>
          <w:lang w:val="en-GB"/>
        </w:rPr>
        <w:t>Uppsala cohort: De-identified data are available upon reasonable request. Requests should be directed to Elham Rostami (</w:t>
      </w:r>
      <w:hyperlink r:id="rId10" w:history="1">
        <w:r w:rsidRPr="00E967CF">
          <w:rPr>
            <w:rStyle w:val="Hyperlink"/>
            <w:rFonts w:cstheme="minorBidi"/>
            <w:lang w:val="en-GB"/>
          </w:rPr>
          <w:t>elham.rostami@uu.se</w:t>
        </w:r>
      </w:hyperlink>
      <w:r w:rsidRPr="00E967CF">
        <w:rPr>
          <w:lang w:val="en-GB"/>
        </w:rPr>
        <w:t>).</w:t>
      </w:r>
    </w:p>
    <w:p w14:paraId="6CC1874A" w14:textId="197E5AA1" w:rsidR="00246232" w:rsidRPr="00E967CF" w:rsidRDefault="006C4202" w:rsidP="00205120">
      <w:pPr>
        <w:rPr>
          <w:lang w:val="en-GB"/>
        </w:rPr>
      </w:pPr>
      <w:r w:rsidRPr="00E967CF">
        <w:rPr>
          <w:i/>
          <w:iCs/>
          <w:lang w:val="en-GB"/>
        </w:rPr>
        <w:t>In vitro</w:t>
      </w:r>
      <w:r w:rsidRPr="00E967CF">
        <w:rPr>
          <w:lang w:val="en-GB"/>
        </w:rPr>
        <w:t xml:space="preserve"> data: Available upon reasonable request. Requests should be directed to Joshua M Heihre (jmh272@cam.ac.uk).</w:t>
      </w:r>
      <w:bookmarkEnd w:id="43"/>
    </w:p>
    <w:p w14:paraId="577000D1" w14:textId="4293AE1B" w:rsidR="000F445E" w:rsidRPr="00E967CF" w:rsidRDefault="000F445E" w:rsidP="00205120">
      <w:pPr>
        <w:pStyle w:val="Heading1"/>
        <w:rPr>
          <w:lang w:val="en-GB"/>
        </w:rPr>
      </w:pPr>
      <w:r w:rsidRPr="00E967CF">
        <w:rPr>
          <w:lang w:val="en-GB"/>
        </w:rPr>
        <w:t>Supplementary material</w:t>
      </w:r>
    </w:p>
    <w:p w14:paraId="0CFF4F34" w14:textId="585FB131" w:rsidR="00263E05" w:rsidRPr="00E967CF" w:rsidRDefault="000F445E" w:rsidP="00285EA5">
      <w:pPr>
        <w:rPr>
          <w:lang w:val="en-GB"/>
        </w:rPr>
      </w:pPr>
      <w:r w:rsidRPr="00E967CF">
        <w:rPr>
          <w:lang w:val="en-GB"/>
        </w:rPr>
        <w:t>Supplementary material is available</w:t>
      </w:r>
      <w:r w:rsidR="00246232" w:rsidRPr="00E967CF">
        <w:rPr>
          <w:lang w:val="en-GB"/>
        </w:rPr>
        <w:t xml:space="preserve"> online</w:t>
      </w:r>
      <w:r w:rsidR="0007499D" w:rsidRPr="00E967CF">
        <w:rPr>
          <w:lang w:val="en-GB"/>
        </w:rPr>
        <w:t>.</w:t>
      </w:r>
      <w:bookmarkEnd w:id="37"/>
      <w:r w:rsidR="00897AF1">
        <w:rPr>
          <w:lang w:val="en-GB"/>
        </w:rPr>
        <w:br w:type="page"/>
      </w:r>
    </w:p>
    <w:p w14:paraId="65ED9ADE" w14:textId="55221364" w:rsidR="007354E5" w:rsidRPr="00E967CF" w:rsidRDefault="007354E5" w:rsidP="00205120">
      <w:pPr>
        <w:pStyle w:val="Heading1"/>
        <w:rPr>
          <w:lang w:val="en-GB"/>
        </w:rPr>
      </w:pPr>
      <w:r w:rsidRPr="00E967CF">
        <w:rPr>
          <w:lang w:val="en-GB"/>
        </w:rPr>
        <w:lastRenderedPageBreak/>
        <w:t>References</w:t>
      </w:r>
    </w:p>
    <w:p w14:paraId="458D91F1" w14:textId="6E285907" w:rsidR="004B7084" w:rsidRPr="00E967CF" w:rsidRDefault="004B7084" w:rsidP="00A4461C">
      <w:pPr>
        <w:pStyle w:val="NormalWeb"/>
        <w:jc w:val="left"/>
        <w:rPr>
          <w:lang w:val="en-GB"/>
        </w:rPr>
      </w:pPr>
      <w:r w:rsidRPr="00E967CF">
        <w:rPr>
          <w:lang w:val="en-GB"/>
        </w:rPr>
        <w:t>1.</w:t>
      </w:r>
      <w:r w:rsidRPr="00E967CF">
        <w:rPr>
          <w:lang w:val="en-GB"/>
        </w:rPr>
        <w:tab/>
      </w:r>
      <w:r w:rsidR="0009276C" w:rsidRPr="0009276C">
        <w:rPr>
          <w:lang w:val="en-GB"/>
        </w:rPr>
        <w:t xml:space="preserve">Demers-Marcil S and Coles JP. Cerebral metabolic derangements following traumatic brain injury. </w:t>
      </w:r>
      <w:r w:rsidR="0009276C" w:rsidRPr="0009276C">
        <w:rPr>
          <w:i/>
          <w:iCs/>
          <w:lang w:val="en-GB"/>
        </w:rPr>
        <w:t>Curr Opin Anaesthesiol</w:t>
      </w:r>
      <w:r w:rsidR="0009276C" w:rsidRPr="0009276C">
        <w:rPr>
          <w:lang w:val="en-GB"/>
        </w:rPr>
        <w:t xml:space="preserve"> 2022; 35: 562–569.</w:t>
      </w:r>
    </w:p>
    <w:p w14:paraId="63249D92" w14:textId="65001A98" w:rsidR="004B7084" w:rsidRPr="00E967CF" w:rsidRDefault="004B7084" w:rsidP="00A4461C">
      <w:pPr>
        <w:pStyle w:val="NormalWeb"/>
        <w:jc w:val="left"/>
        <w:rPr>
          <w:lang w:val="en-GB"/>
        </w:rPr>
      </w:pPr>
      <w:r w:rsidRPr="00E967CF">
        <w:rPr>
          <w:lang w:val="en-GB"/>
        </w:rPr>
        <w:t>2.</w:t>
      </w:r>
      <w:r w:rsidRPr="00E967CF">
        <w:rPr>
          <w:lang w:val="en-GB"/>
        </w:rPr>
        <w:tab/>
      </w:r>
      <w:r w:rsidR="004D051B" w:rsidRPr="004D051B">
        <w:rPr>
          <w:lang w:val="en-GB"/>
        </w:rPr>
        <w:t xml:space="preserve">Thelin EP, Carpenter KL, Hutchinson PJ, et al. Microdialysis monitoring in clinical traumatic brain injury and its role in neuroprotective drug development. </w:t>
      </w:r>
      <w:r w:rsidR="004D051B" w:rsidRPr="004D051B">
        <w:rPr>
          <w:i/>
          <w:iCs/>
          <w:lang w:val="en-GB"/>
        </w:rPr>
        <w:t>AAPS</w:t>
      </w:r>
      <w:r w:rsidR="004D051B" w:rsidRPr="004D051B">
        <w:rPr>
          <w:lang w:val="en-GB"/>
        </w:rPr>
        <w:t xml:space="preserve"> J 2017; 19: 367–376.</w:t>
      </w:r>
    </w:p>
    <w:p w14:paraId="0EBDE4C6" w14:textId="1530B313" w:rsidR="004B7084" w:rsidRPr="00E967CF" w:rsidRDefault="004B7084" w:rsidP="00A4461C">
      <w:pPr>
        <w:pStyle w:val="NormalWeb"/>
        <w:jc w:val="left"/>
        <w:rPr>
          <w:lang w:val="en-GB"/>
        </w:rPr>
      </w:pPr>
      <w:r w:rsidRPr="00E967CF">
        <w:rPr>
          <w:lang w:val="en-GB"/>
        </w:rPr>
        <w:t>3.</w:t>
      </w:r>
      <w:r w:rsidRPr="00E967CF">
        <w:rPr>
          <w:lang w:val="en-GB"/>
        </w:rPr>
        <w:tab/>
      </w:r>
      <w:r w:rsidR="003674BF" w:rsidRPr="003674BF">
        <w:rPr>
          <w:lang w:val="en-GB"/>
        </w:rPr>
        <w:t xml:space="preserve">Timofeev I, Carpenter KL, Nortje J, et al. Cerebral extracellular chemistry and outcome following traumatic brain injury: A microdialysis study of 223 patients. </w:t>
      </w:r>
      <w:r w:rsidR="003674BF" w:rsidRPr="003674BF">
        <w:rPr>
          <w:i/>
          <w:iCs/>
          <w:lang w:val="en-GB"/>
        </w:rPr>
        <w:t>Brain</w:t>
      </w:r>
      <w:r w:rsidR="003674BF" w:rsidRPr="003674BF">
        <w:rPr>
          <w:lang w:val="en-GB"/>
        </w:rPr>
        <w:t xml:space="preserve"> 2011; 134: 484–494.</w:t>
      </w:r>
    </w:p>
    <w:p w14:paraId="25FE47A3" w14:textId="50781963" w:rsidR="004B7084" w:rsidRPr="00E967CF" w:rsidRDefault="004B7084" w:rsidP="00A4461C">
      <w:pPr>
        <w:pStyle w:val="NormalWeb"/>
        <w:jc w:val="left"/>
        <w:rPr>
          <w:lang w:val="en-GB"/>
        </w:rPr>
      </w:pPr>
      <w:r w:rsidRPr="00E967CF">
        <w:rPr>
          <w:lang w:val="en-GB"/>
        </w:rPr>
        <w:t>4.</w:t>
      </w:r>
      <w:r w:rsidRPr="00E967CF">
        <w:rPr>
          <w:lang w:val="en-GB"/>
        </w:rPr>
        <w:tab/>
      </w:r>
      <w:r w:rsidR="008556A8" w:rsidRPr="008556A8">
        <w:rPr>
          <w:lang w:val="en-GB"/>
        </w:rPr>
        <w:t xml:space="preserve">Paraforou T, Paterakis K, Fountas K, et al. Cerebral perfusion pressure, microdialysis biochemistry and clinical outcome in patients with traumatic brain injury. </w:t>
      </w:r>
      <w:r w:rsidR="008556A8" w:rsidRPr="008556A8">
        <w:rPr>
          <w:i/>
          <w:iCs/>
          <w:lang w:val="en-GB"/>
        </w:rPr>
        <w:t>BMC Res Notes</w:t>
      </w:r>
      <w:r w:rsidR="008556A8" w:rsidRPr="008556A8">
        <w:rPr>
          <w:lang w:val="en-GB"/>
        </w:rPr>
        <w:t xml:space="preserve"> 2011; 4: 540.</w:t>
      </w:r>
    </w:p>
    <w:p w14:paraId="270F0B89" w14:textId="31D164C2" w:rsidR="004B7084" w:rsidRPr="00E967CF" w:rsidRDefault="004B7084" w:rsidP="00A4461C">
      <w:pPr>
        <w:pStyle w:val="NormalWeb"/>
        <w:jc w:val="left"/>
        <w:rPr>
          <w:lang w:val="en-GB"/>
        </w:rPr>
      </w:pPr>
      <w:r w:rsidRPr="00E967CF">
        <w:rPr>
          <w:lang w:val="en-GB"/>
        </w:rPr>
        <w:t>5.</w:t>
      </w:r>
      <w:r w:rsidRPr="00E967CF">
        <w:rPr>
          <w:lang w:val="en-GB"/>
        </w:rPr>
        <w:tab/>
      </w:r>
      <w:r w:rsidR="001C145F" w:rsidRPr="001C145F">
        <w:rPr>
          <w:lang w:val="en-GB"/>
        </w:rPr>
        <w:t xml:space="preserve">Stein NR, McArthur DL, Etchepare M, et al. Early cerebral metabolic crisis after TBI influences outcome despite adequate hemodynamic resuscitation. </w:t>
      </w:r>
      <w:r w:rsidR="001C145F" w:rsidRPr="001C145F">
        <w:rPr>
          <w:i/>
          <w:iCs/>
          <w:lang w:val="en-GB"/>
        </w:rPr>
        <w:t>Neurocrit Care</w:t>
      </w:r>
      <w:r w:rsidR="001C145F" w:rsidRPr="001C145F">
        <w:rPr>
          <w:lang w:val="en-GB"/>
        </w:rPr>
        <w:t xml:space="preserve"> 2012; 17: 49–57.</w:t>
      </w:r>
    </w:p>
    <w:p w14:paraId="073A6003" w14:textId="1C541834" w:rsidR="004B7084" w:rsidRPr="00E967CF" w:rsidRDefault="004B7084" w:rsidP="00A4461C">
      <w:pPr>
        <w:pStyle w:val="NormalWeb"/>
        <w:jc w:val="left"/>
        <w:rPr>
          <w:lang w:val="en-GB"/>
        </w:rPr>
      </w:pPr>
      <w:r w:rsidRPr="00E967CF">
        <w:rPr>
          <w:lang w:val="en-GB"/>
        </w:rPr>
        <w:t>6.</w:t>
      </w:r>
      <w:r w:rsidRPr="00E967CF">
        <w:rPr>
          <w:lang w:val="en-GB"/>
        </w:rPr>
        <w:tab/>
      </w:r>
      <w:r w:rsidR="00840C10" w:rsidRPr="00840C10">
        <w:rPr>
          <w:lang w:val="en-GB"/>
        </w:rPr>
        <w:t xml:space="preserve">Guilfoyle MR, Helmy A, Donnelly J, et al. Characterising the dynamics of cerebral metabolic dysfunction following traumatic brain injury: A microdialysis study in 619 patients. </w:t>
      </w:r>
      <w:r w:rsidR="00840C10" w:rsidRPr="00840C10">
        <w:rPr>
          <w:i/>
          <w:iCs/>
          <w:lang w:val="en-GB"/>
        </w:rPr>
        <w:t>PLoS One</w:t>
      </w:r>
      <w:r w:rsidR="00840C10" w:rsidRPr="00840C10">
        <w:rPr>
          <w:lang w:val="en-GB"/>
        </w:rPr>
        <w:t xml:space="preserve"> 2021; 16: e0260291.</w:t>
      </w:r>
    </w:p>
    <w:p w14:paraId="65821360" w14:textId="189F6058" w:rsidR="004B7084" w:rsidRPr="00E967CF" w:rsidRDefault="004B7084" w:rsidP="00A4461C">
      <w:pPr>
        <w:pStyle w:val="NormalWeb"/>
        <w:jc w:val="left"/>
        <w:rPr>
          <w:lang w:val="en-GB"/>
        </w:rPr>
      </w:pPr>
      <w:r w:rsidRPr="00E967CF">
        <w:rPr>
          <w:lang w:val="en-GB"/>
        </w:rPr>
        <w:t>7.</w:t>
      </w:r>
      <w:r w:rsidRPr="00E967CF">
        <w:rPr>
          <w:lang w:val="en-GB"/>
        </w:rPr>
        <w:tab/>
      </w:r>
      <w:r w:rsidR="00961C3C" w:rsidRPr="00961C3C">
        <w:rPr>
          <w:lang w:val="en-GB"/>
        </w:rPr>
        <w:t xml:space="preserve">Marcoux J, McArthur DA, Miller C, et al. Persistent metabolic crisis as measured by elevated cerebral microdialysis lactate-pyruvate ratio predicts chronic frontal lobe brain atrophy after traumatic brain injury. </w:t>
      </w:r>
      <w:r w:rsidR="00961C3C" w:rsidRPr="00961C3C">
        <w:rPr>
          <w:i/>
          <w:iCs/>
          <w:lang w:val="en-GB"/>
        </w:rPr>
        <w:t>Crit Care Med</w:t>
      </w:r>
      <w:r w:rsidR="00961C3C" w:rsidRPr="00961C3C">
        <w:rPr>
          <w:lang w:val="en-GB"/>
        </w:rPr>
        <w:t xml:space="preserve"> 2008; 36: 2871–2877.</w:t>
      </w:r>
    </w:p>
    <w:p w14:paraId="4A2E443C" w14:textId="4528200A" w:rsidR="004B7084" w:rsidRPr="00E967CF" w:rsidRDefault="004B7084" w:rsidP="00A4461C">
      <w:pPr>
        <w:pStyle w:val="NormalWeb"/>
        <w:jc w:val="left"/>
        <w:rPr>
          <w:lang w:val="en-GB"/>
        </w:rPr>
      </w:pPr>
      <w:r w:rsidRPr="00E967CF">
        <w:rPr>
          <w:lang w:val="en-GB"/>
        </w:rPr>
        <w:t>8.</w:t>
      </w:r>
      <w:r w:rsidRPr="00E967CF">
        <w:rPr>
          <w:lang w:val="en-GB"/>
        </w:rPr>
        <w:tab/>
      </w:r>
      <w:r w:rsidR="00CA3682" w:rsidRPr="00CA3682">
        <w:rPr>
          <w:lang w:val="en-GB"/>
        </w:rPr>
        <w:t xml:space="preserve">Bernini A, Magnoni S, Miroz JP, et al. Cerebral metabolic dysfunction at the acute phase of traumatic brain injury correlates with long-term tissue loss. </w:t>
      </w:r>
      <w:r w:rsidR="00CA3682" w:rsidRPr="00CA3682">
        <w:rPr>
          <w:i/>
          <w:iCs/>
          <w:lang w:val="en-GB"/>
        </w:rPr>
        <w:t>J Neurotrauma</w:t>
      </w:r>
      <w:r w:rsidR="00CA3682" w:rsidRPr="00CA3682">
        <w:rPr>
          <w:lang w:val="en-GB"/>
        </w:rPr>
        <w:t xml:space="preserve"> 2023; 40: 472–481.</w:t>
      </w:r>
    </w:p>
    <w:p w14:paraId="6BFC7D06" w14:textId="3A45872D" w:rsidR="004B7084" w:rsidRPr="00E967CF" w:rsidRDefault="004B7084" w:rsidP="00A4461C">
      <w:pPr>
        <w:pStyle w:val="NormalWeb"/>
        <w:jc w:val="left"/>
        <w:rPr>
          <w:lang w:val="en-GB"/>
        </w:rPr>
      </w:pPr>
      <w:r w:rsidRPr="00E967CF">
        <w:rPr>
          <w:lang w:val="en-GB"/>
        </w:rPr>
        <w:t>9.</w:t>
      </w:r>
      <w:r w:rsidRPr="00E967CF">
        <w:rPr>
          <w:lang w:val="en-GB"/>
        </w:rPr>
        <w:tab/>
      </w:r>
      <w:r w:rsidR="00266F7B" w:rsidRPr="00266F7B">
        <w:rPr>
          <w:lang w:val="en-GB"/>
        </w:rPr>
        <w:t xml:space="preserve">Bellander BM, Cantais E, Enblad P, et al. Consensus meeting on microdialysis in neurointensive care. </w:t>
      </w:r>
      <w:r w:rsidR="00266F7B" w:rsidRPr="00266F7B">
        <w:rPr>
          <w:i/>
          <w:iCs/>
          <w:lang w:val="en-GB"/>
        </w:rPr>
        <w:t>Intensive Care Med</w:t>
      </w:r>
      <w:r w:rsidR="00266F7B" w:rsidRPr="00266F7B">
        <w:rPr>
          <w:lang w:val="en-GB"/>
        </w:rPr>
        <w:t xml:space="preserve"> 2004; 30: 2166–2169.</w:t>
      </w:r>
    </w:p>
    <w:p w14:paraId="5055371B" w14:textId="4056D49B" w:rsidR="004B7084" w:rsidRPr="00E967CF" w:rsidRDefault="004B7084" w:rsidP="00A4461C">
      <w:pPr>
        <w:pStyle w:val="NormalWeb"/>
        <w:jc w:val="left"/>
        <w:rPr>
          <w:lang w:val="en-GB"/>
        </w:rPr>
      </w:pPr>
      <w:r w:rsidRPr="00E967CF">
        <w:rPr>
          <w:lang w:val="en-GB"/>
        </w:rPr>
        <w:lastRenderedPageBreak/>
        <w:t>10.</w:t>
      </w:r>
      <w:r w:rsidRPr="00E967CF">
        <w:rPr>
          <w:lang w:val="en-GB"/>
        </w:rPr>
        <w:tab/>
      </w:r>
      <w:r w:rsidR="00593BEF" w:rsidRPr="00593BEF">
        <w:rPr>
          <w:lang w:val="en-GB"/>
        </w:rPr>
        <w:t xml:space="preserve">Hutchinson PJ, Jalloh I, Helmy A, et al. Consensus statement from the 2014 International Microdialysis Forum. </w:t>
      </w:r>
      <w:r w:rsidR="00593BEF" w:rsidRPr="00593BEF">
        <w:rPr>
          <w:i/>
          <w:iCs/>
          <w:lang w:val="en-GB"/>
        </w:rPr>
        <w:t>Intensive Care Med</w:t>
      </w:r>
      <w:r w:rsidR="00593BEF" w:rsidRPr="00593BEF">
        <w:rPr>
          <w:lang w:val="en-GB"/>
        </w:rPr>
        <w:t xml:space="preserve"> 2015; 41: 1517–1528.</w:t>
      </w:r>
    </w:p>
    <w:p w14:paraId="702FDE3F" w14:textId="711EBCD1" w:rsidR="004B7084" w:rsidRPr="00E967CF" w:rsidRDefault="004B7084" w:rsidP="00A4461C">
      <w:pPr>
        <w:pStyle w:val="NormalWeb"/>
        <w:jc w:val="left"/>
        <w:rPr>
          <w:lang w:val="en-GB"/>
        </w:rPr>
      </w:pPr>
      <w:r w:rsidRPr="00E967CF">
        <w:rPr>
          <w:lang w:val="en-GB"/>
        </w:rPr>
        <w:t>11.</w:t>
      </w:r>
      <w:r w:rsidRPr="00E967CF">
        <w:rPr>
          <w:lang w:val="en-GB"/>
        </w:rPr>
        <w:tab/>
      </w:r>
      <w:r w:rsidR="00EF7382" w:rsidRPr="00EF7382">
        <w:rPr>
          <w:lang w:val="en-GB"/>
        </w:rPr>
        <w:t xml:space="preserve">Venturini S, Bhatti F, Timofeev I, et al. Microdialysis-based classifications of abnormal metabolic states after traumatic brain injury: A systematic review of the literature. </w:t>
      </w:r>
      <w:r w:rsidR="00EF7382" w:rsidRPr="00EF7382">
        <w:rPr>
          <w:i/>
          <w:iCs/>
          <w:lang w:val="en-GB"/>
        </w:rPr>
        <w:t xml:space="preserve">J Neurotrauma </w:t>
      </w:r>
      <w:r w:rsidR="00EF7382" w:rsidRPr="00EF7382">
        <w:rPr>
          <w:lang w:val="en-GB"/>
        </w:rPr>
        <w:t>2023; 40: 195–209.</w:t>
      </w:r>
    </w:p>
    <w:p w14:paraId="776E161D" w14:textId="20144449" w:rsidR="004B7084" w:rsidRPr="00E967CF" w:rsidRDefault="004B7084" w:rsidP="00A4461C">
      <w:pPr>
        <w:pStyle w:val="NormalWeb"/>
        <w:jc w:val="left"/>
        <w:rPr>
          <w:lang w:val="en-GB"/>
        </w:rPr>
      </w:pPr>
      <w:r w:rsidRPr="00E967CF">
        <w:rPr>
          <w:lang w:val="en-GB"/>
        </w:rPr>
        <w:t>12.</w:t>
      </w:r>
      <w:r w:rsidRPr="00E967CF">
        <w:rPr>
          <w:lang w:val="en-GB"/>
        </w:rPr>
        <w:tab/>
      </w:r>
      <w:r w:rsidR="000C6D93" w:rsidRPr="000C6D93">
        <w:rPr>
          <w:lang w:val="en-GB"/>
        </w:rPr>
        <w:t xml:space="preserve">Baker MS, Venturini S, Lindblad C, et al. Defining metabolic abnormalities in acute human traumatic brain injury with cerebral microdialysis and multimodality monitoring. </w:t>
      </w:r>
      <w:r w:rsidR="000C6D93" w:rsidRPr="000C6D93">
        <w:rPr>
          <w:i/>
          <w:iCs/>
          <w:lang w:val="en-GB"/>
        </w:rPr>
        <w:t>PLoS One</w:t>
      </w:r>
      <w:r w:rsidR="000C6D93" w:rsidRPr="000C6D93">
        <w:rPr>
          <w:lang w:val="en-GB"/>
        </w:rPr>
        <w:t xml:space="preserve"> 2025; 20: e0331310.</w:t>
      </w:r>
    </w:p>
    <w:p w14:paraId="555340B5" w14:textId="154AF8EF" w:rsidR="004B7084" w:rsidRPr="00E967CF" w:rsidRDefault="004B7084" w:rsidP="00A4461C">
      <w:pPr>
        <w:pStyle w:val="NormalWeb"/>
        <w:jc w:val="left"/>
        <w:rPr>
          <w:lang w:val="en-GB"/>
        </w:rPr>
      </w:pPr>
      <w:r w:rsidRPr="00E967CF">
        <w:rPr>
          <w:lang w:val="en-GB"/>
        </w:rPr>
        <w:t>13.</w:t>
      </w:r>
      <w:r w:rsidRPr="00E967CF">
        <w:rPr>
          <w:lang w:val="en-GB"/>
        </w:rPr>
        <w:tab/>
      </w:r>
      <w:r w:rsidR="00EC43A3" w:rsidRPr="00EC43A3">
        <w:rPr>
          <w:lang w:val="en-GB"/>
        </w:rPr>
        <w:t xml:space="preserve">Khellaf A, Garcia NM, Tajsic T, et al. Focally administered succinate improves cerebral metabolism in traumatic brain injury patients with mitochondrial dysfunction. </w:t>
      </w:r>
      <w:r w:rsidR="00EC43A3" w:rsidRPr="00EC43A3">
        <w:rPr>
          <w:i/>
          <w:iCs/>
          <w:lang w:val="en-GB"/>
        </w:rPr>
        <w:t xml:space="preserve">J Cereb Blood Flow Metab </w:t>
      </w:r>
      <w:r w:rsidR="00EC43A3" w:rsidRPr="00EC43A3">
        <w:rPr>
          <w:lang w:val="en-GB"/>
        </w:rPr>
        <w:t>2022; 42: 39–55.</w:t>
      </w:r>
    </w:p>
    <w:p w14:paraId="75E6486D" w14:textId="5D307F51" w:rsidR="004B7084" w:rsidRPr="00E967CF" w:rsidRDefault="004B7084" w:rsidP="00A4461C">
      <w:pPr>
        <w:pStyle w:val="NormalWeb"/>
        <w:jc w:val="left"/>
        <w:rPr>
          <w:lang w:val="en-GB"/>
        </w:rPr>
      </w:pPr>
      <w:r w:rsidRPr="00E967CF">
        <w:rPr>
          <w:lang w:val="en-GB"/>
        </w:rPr>
        <w:t>14.</w:t>
      </w:r>
      <w:r w:rsidRPr="00E967CF">
        <w:rPr>
          <w:lang w:val="en-GB"/>
        </w:rPr>
        <w:tab/>
      </w:r>
      <w:r w:rsidR="00421A3B" w:rsidRPr="00421A3B">
        <w:rPr>
          <w:lang w:val="en-GB"/>
        </w:rPr>
        <w:t xml:space="preserve">Guilfoyle MR. </w:t>
      </w:r>
      <w:r w:rsidR="00421A3B" w:rsidRPr="00421A3B">
        <w:rPr>
          <w:i/>
          <w:iCs/>
          <w:lang w:val="en-GB"/>
        </w:rPr>
        <w:t>Contusion progression in traumatic brain injury</w:t>
      </w:r>
      <w:r w:rsidR="00421A3B" w:rsidRPr="00421A3B">
        <w:rPr>
          <w:lang w:val="en-GB"/>
        </w:rPr>
        <w:t>. PhD Thesis, University of Cambridge, UK, 2019.</w:t>
      </w:r>
    </w:p>
    <w:p w14:paraId="1E757449" w14:textId="3DCA66F0" w:rsidR="004B7084" w:rsidRPr="00E967CF" w:rsidRDefault="004B7084" w:rsidP="00A4461C">
      <w:pPr>
        <w:pStyle w:val="NormalWeb"/>
        <w:jc w:val="left"/>
        <w:rPr>
          <w:lang w:val="en-GB"/>
        </w:rPr>
      </w:pPr>
      <w:r w:rsidRPr="00E967CF">
        <w:rPr>
          <w:lang w:val="en-GB"/>
        </w:rPr>
        <w:t>15.</w:t>
      </w:r>
      <w:r w:rsidRPr="00E967CF">
        <w:rPr>
          <w:lang w:val="en-GB"/>
        </w:rPr>
        <w:tab/>
      </w:r>
      <w:r w:rsidR="00B76A17" w:rsidRPr="00B76A17">
        <w:rPr>
          <w:lang w:val="en-GB"/>
        </w:rPr>
        <w:t xml:space="preserve">Nelson DL, Cox MM and Hoskins AA. </w:t>
      </w:r>
      <w:r w:rsidR="00B76A17" w:rsidRPr="00B76A17">
        <w:rPr>
          <w:i/>
          <w:iCs/>
          <w:lang w:val="en-GB"/>
        </w:rPr>
        <w:t>Lehninger principles of biochemistry</w:t>
      </w:r>
      <w:r w:rsidR="00B76A17" w:rsidRPr="00B76A17">
        <w:rPr>
          <w:lang w:val="en-GB"/>
        </w:rPr>
        <w:t>. 8th ed. New York: Macmillan Learning, 2021.</w:t>
      </w:r>
    </w:p>
    <w:p w14:paraId="1AFAE392" w14:textId="5AB74E75" w:rsidR="004B7084" w:rsidRPr="00E967CF" w:rsidRDefault="004B7084" w:rsidP="00A4461C">
      <w:pPr>
        <w:pStyle w:val="NormalWeb"/>
        <w:jc w:val="left"/>
        <w:rPr>
          <w:lang w:val="en-GB"/>
        </w:rPr>
      </w:pPr>
      <w:r w:rsidRPr="00E967CF">
        <w:rPr>
          <w:lang w:val="en-GB"/>
        </w:rPr>
        <w:t>16.</w:t>
      </w:r>
      <w:r w:rsidRPr="00E967CF">
        <w:rPr>
          <w:lang w:val="en-GB"/>
        </w:rPr>
        <w:tab/>
      </w:r>
      <w:r w:rsidR="003114E5" w:rsidRPr="003114E5">
        <w:rPr>
          <w:lang w:val="en-GB"/>
        </w:rPr>
        <w:t xml:space="preserve">Pierre K and Pellerin L. Monocarboxylate transporters in the central nervous system: Distribution, regulation and function. </w:t>
      </w:r>
      <w:r w:rsidR="003114E5" w:rsidRPr="003114E5">
        <w:rPr>
          <w:i/>
          <w:iCs/>
          <w:lang w:val="en-GB"/>
        </w:rPr>
        <w:t>J Neurochem</w:t>
      </w:r>
      <w:r w:rsidR="003114E5" w:rsidRPr="003114E5">
        <w:rPr>
          <w:lang w:val="en-GB"/>
        </w:rPr>
        <w:t xml:space="preserve"> 2005; 94: 1–14.</w:t>
      </w:r>
    </w:p>
    <w:p w14:paraId="5232A633" w14:textId="0E813A39" w:rsidR="004B7084" w:rsidRPr="00E967CF" w:rsidRDefault="004B7084" w:rsidP="00A4461C">
      <w:pPr>
        <w:pStyle w:val="NormalWeb"/>
        <w:jc w:val="left"/>
        <w:rPr>
          <w:lang w:val="en-GB"/>
        </w:rPr>
      </w:pPr>
      <w:r w:rsidRPr="00E967CF">
        <w:rPr>
          <w:lang w:val="en-GB"/>
        </w:rPr>
        <w:t>1</w:t>
      </w:r>
      <w:r w:rsidR="00FD1902" w:rsidRPr="00E967CF">
        <w:rPr>
          <w:lang w:val="en-GB"/>
        </w:rPr>
        <w:t>7</w:t>
      </w:r>
      <w:r w:rsidRPr="00E967CF">
        <w:rPr>
          <w:lang w:val="en-GB"/>
        </w:rPr>
        <w:t>.</w:t>
      </w:r>
      <w:r w:rsidRPr="00E967CF">
        <w:rPr>
          <w:lang w:val="en-GB"/>
        </w:rPr>
        <w:tab/>
      </w:r>
      <w:r w:rsidR="00804592" w:rsidRPr="00804592">
        <w:rPr>
          <w:lang w:val="en-GB"/>
        </w:rPr>
        <w:t xml:space="preserve">Killick R, Fearnhead P and Eckley IA. Optimal detection of changepoints with a linear computational cost. </w:t>
      </w:r>
      <w:r w:rsidR="00804592" w:rsidRPr="00804592">
        <w:rPr>
          <w:i/>
          <w:iCs/>
          <w:lang w:val="en-GB"/>
        </w:rPr>
        <w:t>J Am Stat Assoc</w:t>
      </w:r>
      <w:r w:rsidR="00804592" w:rsidRPr="00804592">
        <w:rPr>
          <w:lang w:val="en-GB"/>
        </w:rPr>
        <w:t xml:space="preserve"> 2012; 107: 1590–1598.</w:t>
      </w:r>
    </w:p>
    <w:p w14:paraId="7C1EC6AB" w14:textId="70277C03" w:rsidR="004B7084" w:rsidRPr="00E967CF" w:rsidRDefault="00FD1902" w:rsidP="00A4461C">
      <w:pPr>
        <w:pStyle w:val="NormalWeb"/>
        <w:jc w:val="left"/>
        <w:rPr>
          <w:lang w:val="en-GB"/>
        </w:rPr>
      </w:pPr>
      <w:r w:rsidRPr="00E967CF">
        <w:rPr>
          <w:lang w:val="en-GB"/>
        </w:rPr>
        <w:t>18</w:t>
      </w:r>
      <w:r w:rsidR="004B7084" w:rsidRPr="00E967CF">
        <w:rPr>
          <w:lang w:val="en-GB"/>
        </w:rPr>
        <w:t>.</w:t>
      </w:r>
      <w:r w:rsidR="004B7084" w:rsidRPr="00E967CF">
        <w:rPr>
          <w:lang w:val="en-GB"/>
        </w:rPr>
        <w:tab/>
      </w:r>
      <w:r w:rsidR="00212383" w:rsidRPr="00212383">
        <w:rPr>
          <w:lang w:val="en-GB"/>
        </w:rPr>
        <w:t xml:space="preserve">Truong C, Oudre L and Vayatis N. Selective review of offline change point detection methods. </w:t>
      </w:r>
      <w:r w:rsidR="00212383" w:rsidRPr="00212383">
        <w:rPr>
          <w:i/>
          <w:iCs/>
          <w:lang w:val="en-GB"/>
        </w:rPr>
        <w:t>Signal Process</w:t>
      </w:r>
      <w:r w:rsidR="00212383" w:rsidRPr="00212383">
        <w:rPr>
          <w:lang w:val="en-GB"/>
        </w:rPr>
        <w:t xml:space="preserve"> 2020; 167: 107299.</w:t>
      </w:r>
    </w:p>
    <w:p w14:paraId="43B88DA6" w14:textId="7A586B8C" w:rsidR="004B7084" w:rsidRPr="00E967CF" w:rsidRDefault="004B7084" w:rsidP="00A4461C">
      <w:pPr>
        <w:pStyle w:val="NormalWeb"/>
        <w:jc w:val="left"/>
        <w:rPr>
          <w:lang w:val="en-GB"/>
        </w:rPr>
      </w:pPr>
      <w:r w:rsidRPr="00E967CF">
        <w:rPr>
          <w:lang w:val="en-GB"/>
        </w:rPr>
        <w:t>1</w:t>
      </w:r>
      <w:r w:rsidR="00FD1902" w:rsidRPr="00E967CF">
        <w:rPr>
          <w:lang w:val="en-GB"/>
        </w:rPr>
        <w:t>9</w:t>
      </w:r>
      <w:r w:rsidRPr="00E967CF">
        <w:rPr>
          <w:lang w:val="en-GB"/>
        </w:rPr>
        <w:t>.</w:t>
      </w:r>
      <w:r w:rsidRPr="00E967CF">
        <w:rPr>
          <w:lang w:val="en-GB"/>
        </w:rPr>
        <w:tab/>
      </w:r>
      <w:r w:rsidR="00B45A36" w:rsidRPr="00B45A36">
        <w:rPr>
          <w:lang w:val="en-GB"/>
        </w:rPr>
        <w:t xml:space="preserve">Satopaa V, Albrecht J, Irwin D, et al. Finding a “Kneedle” in a haystack: Detecting knee points in system behavior. In: </w:t>
      </w:r>
      <w:r w:rsidR="00B45A36" w:rsidRPr="00B45A36">
        <w:rPr>
          <w:i/>
          <w:iCs/>
          <w:lang w:val="en-GB"/>
        </w:rPr>
        <w:t>31st International Conference on Distributed Computing Systems Workshops</w:t>
      </w:r>
      <w:r w:rsidR="00B45A36" w:rsidRPr="00B45A36">
        <w:rPr>
          <w:lang w:val="en-GB"/>
        </w:rPr>
        <w:t>,</w:t>
      </w:r>
      <w:r w:rsidR="001B72BE">
        <w:rPr>
          <w:lang w:val="en-GB"/>
        </w:rPr>
        <w:t xml:space="preserve"> </w:t>
      </w:r>
      <w:r w:rsidR="001B72BE" w:rsidRPr="001B72BE">
        <w:rPr>
          <w:lang w:val="en-GB"/>
        </w:rPr>
        <w:t xml:space="preserve">Minneapolis, </w:t>
      </w:r>
      <w:r w:rsidR="00987273">
        <w:rPr>
          <w:lang w:val="en-GB"/>
        </w:rPr>
        <w:t>MN</w:t>
      </w:r>
      <w:r w:rsidR="0002327B">
        <w:rPr>
          <w:lang w:val="en-GB"/>
        </w:rPr>
        <w:t>,</w:t>
      </w:r>
      <w:r w:rsidR="001B72BE" w:rsidRPr="001B72BE">
        <w:rPr>
          <w:lang w:val="en-GB"/>
        </w:rPr>
        <w:t xml:space="preserve"> USA</w:t>
      </w:r>
      <w:r w:rsidR="001B72BE">
        <w:rPr>
          <w:lang w:val="en-GB"/>
        </w:rPr>
        <w:t>,</w:t>
      </w:r>
      <w:r w:rsidR="00B45A36" w:rsidRPr="00B45A36">
        <w:rPr>
          <w:lang w:val="en-GB"/>
        </w:rPr>
        <w:t xml:space="preserve"> </w:t>
      </w:r>
      <w:r w:rsidR="004B06F4">
        <w:rPr>
          <w:lang w:val="en-GB"/>
        </w:rPr>
        <w:t>20</w:t>
      </w:r>
      <w:r w:rsidR="004B06F4" w:rsidRPr="004B06F4">
        <w:rPr>
          <w:lang w:val="en-GB"/>
        </w:rPr>
        <w:t>–2</w:t>
      </w:r>
      <w:r w:rsidR="004B06F4">
        <w:rPr>
          <w:lang w:val="en-GB"/>
        </w:rPr>
        <w:t>4</w:t>
      </w:r>
      <w:r w:rsidR="004B06F4" w:rsidRPr="004B06F4">
        <w:rPr>
          <w:lang w:val="en-GB"/>
        </w:rPr>
        <w:t xml:space="preserve"> June </w:t>
      </w:r>
      <w:r w:rsidR="00B45A36" w:rsidRPr="00B45A36">
        <w:rPr>
          <w:lang w:val="en-GB"/>
        </w:rPr>
        <w:t>2011, pp.166–171. New York: IEEE.</w:t>
      </w:r>
    </w:p>
    <w:p w14:paraId="1A1EF8FE" w14:textId="674A60D0" w:rsidR="004B7084" w:rsidRPr="00E967CF" w:rsidRDefault="004B7084" w:rsidP="00A4461C">
      <w:pPr>
        <w:pStyle w:val="NormalWeb"/>
        <w:jc w:val="left"/>
        <w:rPr>
          <w:lang w:val="en-GB"/>
        </w:rPr>
      </w:pPr>
      <w:r w:rsidRPr="00E967CF">
        <w:rPr>
          <w:lang w:val="en-GB"/>
        </w:rPr>
        <w:t>2</w:t>
      </w:r>
      <w:r w:rsidR="00FD1902" w:rsidRPr="00E967CF">
        <w:rPr>
          <w:lang w:val="en-GB"/>
        </w:rPr>
        <w:t>0</w:t>
      </w:r>
      <w:r w:rsidRPr="00E967CF">
        <w:rPr>
          <w:lang w:val="en-GB"/>
        </w:rPr>
        <w:t>.</w:t>
      </w:r>
      <w:r w:rsidRPr="00E967CF">
        <w:rPr>
          <w:lang w:val="en-GB"/>
        </w:rPr>
        <w:tab/>
      </w:r>
      <w:r w:rsidR="004D7D4C" w:rsidRPr="004D7D4C">
        <w:rPr>
          <w:lang w:val="en-GB"/>
        </w:rPr>
        <w:t xml:space="preserve">Arvai K. </w:t>
      </w:r>
      <w:r w:rsidR="004D7D4C" w:rsidRPr="00160500">
        <w:rPr>
          <w:i/>
          <w:iCs/>
          <w:lang w:val="en-GB"/>
        </w:rPr>
        <w:t>kneed</w:t>
      </w:r>
      <w:r w:rsidR="004D7D4C" w:rsidRPr="004D7D4C">
        <w:rPr>
          <w:lang w:val="en-GB"/>
        </w:rPr>
        <w:t xml:space="preserve"> [computer program]. Version 0.8.5. Zenodo, 2023. DOI: 10.5281/zenodo.8127224.</w:t>
      </w:r>
    </w:p>
    <w:p w14:paraId="249194C3" w14:textId="40079795" w:rsidR="00422AC6" w:rsidRPr="00E967CF" w:rsidRDefault="00FD1902" w:rsidP="003422A7">
      <w:pPr>
        <w:pStyle w:val="NormalWeb"/>
        <w:jc w:val="left"/>
        <w:rPr>
          <w:lang w:val="en-GB"/>
        </w:rPr>
      </w:pPr>
      <w:bookmarkStart w:id="45" w:name="_Hlk222790537"/>
      <w:r w:rsidRPr="00E967CF">
        <w:rPr>
          <w:lang w:val="en-GB"/>
        </w:rPr>
        <w:lastRenderedPageBreak/>
        <w:t>2</w:t>
      </w:r>
      <w:r w:rsidR="00F455D0" w:rsidRPr="00E967CF">
        <w:rPr>
          <w:lang w:val="en-GB"/>
        </w:rPr>
        <w:t>1</w:t>
      </w:r>
      <w:r w:rsidRPr="00E967CF">
        <w:rPr>
          <w:lang w:val="en-GB"/>
        </w:rPr>
        <w:t>.</w:t>
      </w:r>
      <w:r w:rsidRPr="00E967CF">
        <w:rPr>
          <w:lang w:val="en-GB"/>
        </w:rPr>
        <w:tab/>
      </w:r>
      <w:r w:rsidR="00D15ECE" w:rsidRPr="00D15ECE">
        <w:rPr>
          <w:lang w:val="en-GB"/>
        </w:rPr>
        <w:t xml:space="preserve">Kievit R, Frankenhuis WE, Waldorp L, et al. Simpson’s paradox in psychological science: A practical guide. </w:t>
      </w:r>
      <w:r w:rsidR="00D15ECE" w:rsidRPr="00153FFF">
        <w:rPr>
          <w:i/>
          <w:iCs/>
          <w:lang w:val="en-GB"/>
        </w:rPr>
        <w:t>Front Psychol</w:t>
      </w:r>
      <w:r w:rsidR="00D15ECE" w:rsidRPr="00D15ECE">
        <w:rPr>
          <w:lang w:val="en-GB"/>
        </w:rPr>
        <w:t xml:space="preserve"> 2013; 4: 513.</w:t>
      </w:r>
    </w:p>
    <w:bookmarkEnd w:id="45"/>
    <w:p w14:paraId="09BC5B03" w14:textId="67F304DF" w:rsidR="005E1A8B" w:rsidRPr="00E967CF" w:rsidRDefault="005E1A8B" w:rsidP="003422A7">
      <w:pPr>
        <w:pStyle w:val="NormalWeb"/>
        <w:jc w:val="left"/>
        <w:rPr>
          <w:lang w:val="en-GB"/>
        </w:rPr>
      </w:pPr>
      <w:r w:rsidRPr="00E967CF">
        <w:rPr>
          <w:lang w:val="en-GB"/>
        </w:rPr>
        <w:t>2</w:t>
      </w:r>
      <w:r w:rsidR="00B03CFE" w:rsidRPr="00E967CF">
        <w:rPr>
          <w:lang w:val="en-GB"/>
        </w:rPr>
        <w:t>2</w:t>
      </w:r>
      <w:r w:rsidRPr="00E967CF">
        <w:rPr>
          <w:lang w:val="en-GB"/>
        </w:rPr>
        <w:t>.</w:t>
      </w:r>
      <w:r w:rsidRPr="00E967CF">
        <w:rPr>
          <w:lang w:val="en-GB"/>
        </w:rPr>
        <w:tab/>
      </w:r>
      <w:r w:rsidR="00774336" w:rsidRPr="00774336">
        <w:rPr>
          <w:lang w:val="en-GB"/>
        </w:rPr>
        <w:t xml:space="preserve">Khellaf A, Khan DZ and Helmy A. Recent advances in traumatic brain injury. </w:t>
      </w:r>
      <w:r w:rsidR="00774336" w:rsidRPr="00774336">
        <w:rPr>
          <w:i/>
          <w:iCs/>
          <w:lang w:val="en-GB"/>
        </w:rPr>
        <w:t xml:space="preserve">J Neurol </w:t>
      </w:r>
      <w:r w:rsidR="00774336" w:rsidRPr="00774336">
        <w:rPr>
          <w:lang w:val="en-GB"/>
        </w:rPr>
        <w:t>2019; 266: 2878–2889.</w:t>
      </w:r>
    </w:p>
    <w:p w14:paraId="24B5F789" w14:textId="6640AE34" w:rsidR="005C3DEA" w:rsidRPr="00E967CF" w:rsidRDefault="005C3DEA" w:rsidP="003422A7">
      <w:pPr>
        <w:pStyle w:val="NormalWeb"/>
        <w:jc w:val="left"/>
        <w:rPr>
          <w:lang w:val="en-GB"/>
        </w:rPr>
      </w:pPr>
      <w:r w:rsidRPr="00E967CF">
        <w:rPr>
          <w:lang w:val="en-GB"/>
        </w:rPr>
        <w:t>2</w:t>
      </w:r>
      <w:r w:rsidR="00B03CFE" w:rsidRPr="00E967CF">
        <w:rPr>
          <w:lang w:val="en-GB"/>
        </w:rPr>
        <w:t>3</w:t>
      </w:r>
      <w:r w:rsidRPr="00E967CF">
        <w:rPr>
          <w:lang w:val="en-GB"/>
        </w:rPr>
        <w:t>.</w:t>
      </w:r>
      <w:r w:rsidRPr="00E967CF">
        <w:rPr>
          <w:lang w:val="en-GB"/>
        </w:rPr>
        <w:tab/>
      </w:r>
      <w:r w:rsidR="00722B25" w:rsidRPr="00722B25">
        <w:rPr>
          <w:lang w:val="en-GB"/>
        </w:rPr>
        <w:t xml:space="preserve">Pawlowski M, Ortmann D, Bertero A, et al. Inducible and deterministic forward programming of human pluripotent stem cells into neurons, skeletal myocytes, and oligodendrocytes. </w:t>
      </w:r>
      <w:r w:rsidR="00722B25" w:rsidRPr="00722B25">
        <w:rPr>
          <w:i/>
          <w:iCs/>
          <w:lang w:val="en-GB"/>
        </w:rPr>
        <w:t>Stem Cell Reports</w:t>
      </w:r>
      <w:r w:rsidR="00722B25" w:rsidRPr="00722B25">
        <w:rPr>
          <w:lang w:val="en-GB"/>
        </w:rPr>
        <w:t xml:space="preserve"> 2017; 8: 803–812.</w:t>
      </w:r>
    </w:p>
    <w:p w14:paraId="631CA6B9" w14:textId="16960732" w:rsidR="00D45846" w:rsidRPr="00E967CF" w:rsidRDefault="00D45846" w:rsidP="003422A7">
      <w:pPr>
        <w:pStyle w:val="NormalWeb"/>
        <w:jc w:val="left"/>
        <w:rPr>
          <w:lang w:val="en-GB"/>
        </w:rPr>
      </w:pPr>
      <w:r w:rsidRPr="00E967CF">
        <w:rPr>
          <w:lang w:val="en-GB"/>
        </w:rPr>
        <w:t>2</w:t>
      </w:r>
      <w:r w:rsidR="00B03CFE" w:rsidRPr="00E967CF">
        <w:rPr>
          <w:lang w:val="en-GB"/>
        </w:rPr>
        <w:t>4</w:t>
      </w:r>
      <w:r w:rsidRPr="00E967CF">
        <w:rPr>
          <w:lang w:val="en-GB"/>
        </w:rPr>
        <w:t>.</w:t>
      </w:r>
      <w:r w:rsidRPr="00E967CF">
        <w:rPr>
          <w:lang w:val="en-GB"/>
        </w:rPr>
        <w:tab/>
      </w:r>
      <w:r w:rsidR="003407FF" w:rsidRPr="003407FF">
        <w:rPr>
          <w:lang w:val="en-GB"/>
        </w:rPr>
        <w:t xml:space="preserve">Tourigny DS, Karim MKA, Echeveste R, et al. Energetic substrate availability regulates synchronous activity in an excitatory neural network. </w:t>
      </w:r>
      <w:r w:rsidR="003407FF" w:rsidRPr="003407FF">
        <w:rPr>
          <w:i/>
          <w:iCs/>
          <w:lang w:val="en-GB"/>
        </w:rPr>
        <w:t>PLoS One</w:t>
      </w:r>
      <w:r w:rsidR="003407FF" w:rsidRPr="003407FF">
        <w:rPr>
          <w:lang w:val="en-GB"/>
        </w:rPr>
        <w:t xml:space="preserve"> 2019; 14: e0220937.</w:t>
      </w:r>
    </w:p>
    <w:p w14:paraId="48E51F4E" w14:textId="1D7E3CC2" w:rsidR="00E115DD" w:rsidRPr="00E967CF" w:rsidRDefault="00E115DD" w:rsidP="00E115DD">
      <w:pPr>
        <w:pStyle w:val="NormalWeb"/>
        <w:jc w:val="left"/>
        <w:rPr>
          <w:lang w:val="en-GB"/>
        </w:rPr>
      </w:pPr>
      <w:r w:rsidRPr="00E967CF">
        <w:rPr>
          <w:lang w:val="en-GB"/>
        </w:rPr>
        <w:t>2</w:t>
      </w:r>
      <w:r w:rsidR="00B03CFE" w:rsidRPr="00E967CF">
        <w:rPr>
          <w:lang w:val="en-GB"/>
        </w:rPr>
        <w:t>5</w:t>
      </w:r>
      <w:r w:rsidRPr="00E967CF">
        <w:rPr>
          <w:lang w:val="en-GB"/>
        </w:rPr>
        <w:t>.</w:t>
      </w:r>
      <w:r w:rsidRPr="00E967CF">
        <w:rPr>
          <w:lang w:val="en-GB"/>
        </w:rPr>
        <w:tab/>
      </w:r>
      <w:r w:rsidR="00DD4C0D" w:rsidRPr="00DD4C0D">
        <w:rPr>
          <w:lang w:val="en-GB"/>
        </w:rPr>
        <w:t xml:space="preserve">Baranes K, Hastings N, Rahman S, et al. Transcription factor combinations that define human astrocyte identity encode significant variation of maturity and function. </w:t>
      </w:r>
      <w:r w:rsidR="00DD4C0D" w:rsidRPr="00DD4C0D">
        <w:rPr>
          <w:i/>
          <w:iCs/>
          <w:lang w:val="en-GB"/>
        </w:rPr>
        <w:t>Glia</w:t>
      </w:r>
      <w:r w:rsidR="00DD4C0D" w:rsidRPr="00DD4C0D">
        <w:rPr>
          <w:lang w:val="en-GB"/>
        </w:rPr>
        <w:t xml:space="preserve"> 2023; 71: 1870–1889.</w:t>
      </w:r>
    </w:p>
    <w:p w14:paraId="5DFDB6A7" w14:textId="1D2FF08B" w:rsidR="003B0C0F" w:rsidRPr="00E967CF" w:rsidRDefault="00E115DD" w:rsidP="00687205">
      <w:pPr>
        <w:pStyle w:val="NormalWeb"/>
        <w:jc w:val="left"/>
        <w:rPr>
          <w:lang w:val="en-GB"/>
        </w:rPr>
      </w:pPr>
      <w:r w:rsidRPr="00E967CF">
        <w:rPr>
          <w:lang w:val="en-GB"/>
        </w:rPr>
        <w:t>2</w:t>
      </w:r>
      <w:r w:rsidR="00B03CFE" w:rsidRPr="00E967CF">
        <w:rPr>
          <w:lang w:val="en-GB"/>
        </w:rPr>
        <w:t>6</w:t>
      </w:r>
      <w:r w:rsidRPr="00E967CF">
        <w:rPr>
          <w:lang w:val="en-GB"/>
        </w:rPr>
        <w:t>.</w:t>
      </w:r>
      <w:r w:rsidRPr="00E967CF">
        <w:rPr>
          <w:lang w:val="en-GB"/>
        </w:rPr>
        <w:tab/>
      </w:r>
      <w:r w:rsidR="005D47B5" w:rsidRPr="005D47B5">
        <w:rPr>
          <w:lang w:val="en-GB"/>
        </w:rPr>
        <w:t xml:space="preserve">Watmuff B, Habibollahi F, Desouza C, et al. Drug treatment alters performance in a neural microphysiological system of information processing. </w:t>
      </w:r>
      <w:r w:rsidR="005D47B5" w:rsidRPr="005D47B5">
        <w:rPr>
          <w:i/>
          <w:iCs/>
          <w:lang w:val="en-GB"/>
        </w:rPr>
        <w:t>Commun Biol</w:t>
      </w:r>
      <w:r w:rsidR="005D47B5" w:rsidRPr="005D47B5">
        <w:rPr>
          <w:lang w:val="en-GB"/>
        </w:rPr>
        <w:t xml:space="preserve"> 2025; 8: 916.</w:t>
      </w:r>
    </w:p>
    <w:p w14:paraId="5B5AC0A0" w14:textId="77777777" w:rsidR="00687205" w:rsidRDefault="00687205">
      <w:pPr>
        <w:spacing w:before="0" w:line="240" w:lineRule="auto"/>
        <w:jc w:val="left"/>
        <w:rPr>
          <w:rFonts w:eastAsia="Arial Unicode MS"/>
          <w:b/>
          <w:bCs/>
          <w:sz w:val="36"/>
          <w:szCs w:val="48"/>
          <w:bdr w:val="nil"/>
          <w:lang w:val="en-GB"/>
        </w:rPr>
      </w:pPr>
      <w:r>
        <w:rPr>
          <w:lang w:val="en-GB"/>
        </w:rPr>
        <w:br w:type="page"/>
      </w:r>
    </w:p>
    <w:p w14:paraId="247B75B5" w14:textId="08A5CA9E" w:rsidR="00F551A3" w:rsidRPr="00E967CF" w:rsidRDefault="0064287D" w:rsidP="00E341EB">
      <w:pPr>
        <w:pStyle w:val="Heading1"/>
        <w:rPr>
          <w:lang w:val="en-GB"/>
        </w:rPr>
      </w:pPr>
      <w:r w:rsidRPr="0064287D">
        <w:rPr>
          <w:lang w:val="en-GB"/>
        </w:rPr>
        <w:lastRenderedPageBreak/>
        <w:t>Titles and legends to figures</w:t>
      </w:r>
    </w:p>
    <w:p w14:paraId="4B845B21" w14:textId="07110BFA" w:rsidR="009B4C51" w:rsidRPr="00E967CF" w:rsidRDefault="009B4C51" w:rsidP="009B4C51">
      <w:pPr>
        <w:spacing w:line="240" w:lineRule="auto"/>
        <w:rPr>
          <w:bCs/>
          <w:lang w:val="en-GB"/>
        </w:rPr>
      </w:pPr>
      <w:r w:rsidRPr="00E967CF">
        <w:rPr>
          <w:b/>
          <w:lang w:val="en-GB"/>
        </w:rPr>
        <w:t xml:space="preserve">Figure </w:t>
      </w:r>
      <w:r w:rsidR="00DC1DC3" w:rsidRPr="00E967CF">
        <w:rPr>
          <w:b/>
          <w:lang w:val="en-GB"/>
        </w:rPr>
        <w:t>1</w:t>
      </w:r>
      <w:r w:rsidRPr="00E967CF">
        <w:rPr>
          <w:b/>
          <w:lang w:val="en-GB"/>
        </w:rPr>
        <w:t xml:space="preserve">. </w:t>
      </w:r>
      <w:r w:rsidR="007F4E33" w:rsidRPr="00E967CF">
        <w:rPr>
          <w:b/>
          <w:lang w:val="en-GB"/>
        </w:rPr>
        <w:t>Cerebral microdialysis and the linear lactate–pyruvate framework</w:t>
      </w:r>
      <w:r w:rsidRPr="00E967CF">
        <w:rPr>
          <w:b/>
          <w:lang w:val="en-GB"/>
        </w:rPr>
        <w:t>.</w:t>
      </w:r>
      <w:r w:rsidRPr="00E967CF">
        <w:rPr>
          <w:bCs/>
          <w:lang w:val="en-GB"/>
        </w:rPr>
        <w:t xml:space="preserve"> </w:t>
      </w:r>
      <w:r w:rsidR="00B55773" w:rsidRPr="00E967CF">
        <w:rPr>
          <w:b/>
          <w:lang w:val="en-GB"/>
        </w:rPr>
        <w:t>Left</w:t>
      </w:r>
      <w:r w:rsidR="00B55773" w:rsidRPr="00E967CF">
        <w:rPr>
          <w:bCs/>
          <w:lang w:val="en-GB"/>
        </w:rPr>
        <w:t>: schematic of the intracranial multimodality monitoring bolt and CMD catheter</w:t>
      </w:r>
      <w:r w:rsidR="00F06C88" w:rsidRPr="00E967CF">
        <w:rPr>
          <w:bCs/>
          <w:lang w:val="en-GB"/>
        </w:rPr>
        <w:t xml:space="preserve"> (ICP and PbtO</w:t>
      </w:r>
      <w:r w:rsidR="0083154B" w:rsidRPr="00E967CF">
        <w:rPr>
          <w:bCs/>
          <w:vertAlign w:val="subscript"/>
          <w:lang w:val="en-GB"/>
        </w:rPr>
        <w:t>2</w:t>
      </w:r>
      <w:r w:rsidR="00F06C88" w:rsidRPr="00E967CF">
        <w:rPr>
          <w:bCs/>
          <w:lang w:val="en-GB"/>
        </w:rPr>
        <w:t xml:space="preserve"> probes shown)</w:t>
      </w:r>
      <w:r w:rsidR="00B55773" w:rsidRPr="00E967CF">
        <w:rPr>
          <w:bCs/>
          <w:lang w:val="en-GB"/>
        </w:rPr>
        <w:t xml:space="preserve">. </w:t>
      </w:r>
      <w:r w:rsidR="00B55773" w:rsidRPr="00E967CF">
        <w:rPr>
          <w:b/>
          <w:lang w:val="en-GB"/>
        </w:rPr>
        <w:t>Bottom right</w:t>
      </w:r>
      <w:r w:rsidR="00B55773" w:rsidRPr="00E967CF">
        <w:rPr>
          <w:bCs/>
          <w:lang w:val="en-GB"/>
        </w:rPr>
        <w:t>: close-up of the CMD catheter tip sampling extracellular fluid. CMD schematic adapted from Khellaf et al.</w:t>
      </w:r>
      <w:r w:rsidR="00B55773" w:rsidRPr="00E967CF">
        <w:rPr>
          <w:bCs/>
          <w:vertAlign w:val="superscript"/>
          <w:lang w:val="en-GB"/>
        </w:rPr>
        <w:t>22</w:t>
      </w:r>
      <w:r w:rsidR="00B55773" w:rsidRPr="00E967CF">
        <w:rPr>
          <w:bCs/>
          <w:lang w:val="en-GB"/>
        </w:rPr>
        <w:t xml:space="preserve"> under Creative Commons License (CC BY). </w:t>
      </w:r>
      <w:r w:rsidR="00B55773" w:rsidRPr="00E967CF">
        <w:rPr>
          <w:b/>
          <w:lang w:val="en-GB"/>
        </w:rPr>
        <w:t>Top</w:t>
      </w:r>
      <w:r w:rsidR="00B55773" w:rsidRPr="00E967CF">
        <w:rPr>
          <w:bCs/>
          <w:lang w:val="en-GB"/>
        </w:rPr>
        <w:t>–</w:t>
      </w:r>
      <w:r w:rsidR="00B55773" w:rsidRPr="00E967CF">
        <w:rPr>
          <w:b/>
          <w:lang w:val="en-GB"/>
        </w:rPr>
        <w:t>middle right</w:t>
      </w:r>
      <w:r w:rsidR="00B55773" w:rsidRPr="00E967CF">
        <w:rPr>
          <w:bCs/>
          <w:lang w:val="en-GB"/>
        </w:rPr>
        <w:t xml:space="preserve">: simulated CMD data illustrating the proposed framework, generated using representative parameters (cohort medians) from the Cambridge dataset. </w:t>
      </w:r>
      <w:r w:rsidR="00B55773" w:rsidRPr="00E967CF">
        <w:rPr>
          <w:b/>
          <w:lang w:val="en-GB"/>
        </w:rPr>
        <w:t>Top right</w:t>
      </w:r>
      <w:r w:rsidR="00B55773" w:rsidRPr="00E967CF">
        <w:rPr>
          <w:bCs/>
          <w:lang w:val="en-GB"/>
        </w:rPr>
        <w:t xml:space="preserve">: LPR vs time for two contiguous segments over ~83 hours, with a hypothetical intervention at hour ~40. Despite the underlying linear </w:t>
      </w:r>
      <w:r w:rsidR="005979B7" w:rsidRPr="00E967CF">
        <w:rPr>
          <w:bCs/>
          <w:lang w:val="en-GB"/>
        </w:rPr>
        <w:t>gradient</w:t>
      </w:r>
      <w:r w:rsidR="00B55773" w:rsidRPr="00E967CF">
        <w:rPr>
          <w:bCs/>
          <w:lang w:val="en-GB"/>
        </w:rPr>
        <w:t xml:space="preserve"> decreasing from 29.04 to 17.97 between segments, the observed LPR remains in a similar, overlapping range, illustrating how the conventional LPR time series can obscure true changes in anaerobic activity. </w:t>
      </w:r>
      <w:r w:rsidR="00B55773" w:rsidRPr="00E967CF">
        <w:rPr>
          <w:b/>
          <w:lang w:val="en-GB"/>
        </w:rPr>
        <w:t>Middle right</w:t>
      </w:r>
      <w:r w:rsidR="00B55773" w:rsidRPr="00E967CF">
        <w:rPr>
          <w:bCs/>
          <w:lang w:val="en-GB"/>
        </w:rPr>
        <w:t xml:space="preserve">: corresponding lactate vs pyruvate scatter plots with OLS regression lines. The </w:t>
      </w:r>
      <w:r w:rsidR="005979B7" w:rsidRPr="00E967CF">
        <w:rPr>
          <w:bCs/>
          <w:lang w:val="en-GB"/>
        </w:rPr>
        <w:t>gradient</w:t>
      </w:r>
      <w:r w:rsidR="00B55773" w:rsidRPr="00E967CF">
        <w:rPr>
          <w:bCs/>
          <w:lang w:val="en-GB"/>
        </w:rPr>
        <w:t xml:space="preserve"> of the first segment (gold triangles; Type N</w:t>
      </w:r>
      <w:r w:rsidR="00B55773" w:rsidRPr="00E967CF">
        <w:rPr>
          <w:bCs/>
          <w:i/>
          <w:iCs/>
          <w:vertAlign w:val="subscript"/>
          <w:lang w:val="en-GB"/>
        </w:rPr>
        <w:t>b</w:t>
      </w:r>
      <w:r w:rsidR="00B55773" w:rsidRPr="00E967CF">
        <w:rPr>
          <w:bCs/>
          <w:lang w:val="en-GB"/>
        </w:rPr>
        <w:t xml:space="preserve">, </w:t>
      </w:r>
      <w:r w:rsidR="00B55773" w:rsidRPr="00E967CF">
        <w:rPr>
          <w:bCs/>
          <w:i/>
          <w:iCs/>
          <w:lang w:val="en-GB"/>
        </w:rPr>
        <w:t>m</w:t>
      </w:r>
      <w:r w:rsidR="00B55773" w:rsidRPr="00E967CF">
        <w:rPr>
          <w:bCs/>
          <w:lang w:val="en-GB"/>
        </w:rPr>
        <w:t xml:space="preserve"> = 29.04, </w:t>
      </w:r>
      <w:r w:rsidR="00B55773" w:rsidRPr="00E967CF">
        <w:rPr>
          <w:bCs/>
          <w:i/>
          <w:iCs/>
          <w:lang w:val="en-GB"/>
        </w:rPr>
        <w:t>b</w:t>
      </w:r>
      <w:r w:rsidR="00B55773" w:rsidRPr="00E967CF">
        <w:rPr>
          <w:bCs/>
          <w:lang w:val="en-GB"/>
        </w:rPr>
        <w:t xml:space="preserve"> = −0.55 mM) reflects higher anaerobic activity than the second segment (teal circles; Type P</w:t>
      </w:r>
      <w:r w:rsidR="00B55773" w:rsidRPr="00E967CF">
        <w:rPr>
          <w:bCs/>
          <w:i/>
          <w:iCs/>
          <w:vertAlign w:val="subscript"/>
          <w:lang w:val="en-GB"/>
        </w:rPr>
        <w:t>b</w:t>
      </w:r>
      <w:r w:rsidR="00B55773" w:rsidRPr="00E967CF">
        <w:rPr>
          <w:bCs/>
          <w:lang w:val="en-GB"/>
        </w:rPr>
        <w:t xml:space="preserve">, </w:t>
      </w:r>
      <w:r w:rsidR="00B55773" w:rsidRPr="00E967CF">
        <w:rPr>
          <w:bCs/>
          <w:i/>
          <w:iCs/>
          <w:lang w:val="en-GB"/>
        </w:rPr>
        <w:t>m</w:t>
      </w:r>
      <w:r w:rsidR="00B55773" w:rsidRPr="00E967CF">
        <w:rPr>
          <w:bCs/>
          <w:lang w:val="en-GB"/>
        </w:rPr>
        <w:t xml:space="preserve"> = 17.97, </w:t>
      </w:r>
      <w:r w:rsidR="00B55773" w:rsidRPr="00E967CF">
        <w:rPr>
          <w:bCs/>
          <w:i/>
          <w:iCs/>
          <w:lang w:val="en-GB"/>
        </w:rPr>
        <w:t>b</w:t>
      </w:r>
      <w:r w:rsidR="00B55773" w:rsidRPr="00E967CF">
        <w:rPr>
          <w:bCs/>
          <w:lang w:val="en-GB"/>
        </w:rPr>
        <w:t xml:space="preserve"> = 0.87 mM). </w:t>
      </w:r>
      <w:r w:rsidR="00B55773" w:rsidRPr="00E967CF">
        <w:rPr>
          <w:b/>
          <w:i/>
          <w:iCs/>
          <w:lang w:val="en-GB"/>
        </w:rPr>
        <w:t>b</w:t>
      </w:r>
      <w:r w:rsidR="00B55773" w:rsidRPr="00E967CF">
        <w:rPr>
          <w:bCs/>
          <w:lang w:val="en-GB"/>
        </w:rPr>
        <w:t xml:space="preserve">, linear intercept; </w:t>
      </w:r>
      <w:r w:rsidR="00B55773" w:rsidRPr="00E967CF">
        <w:rPr>
          <w:b/>
          <w:lang w:val="en-GB"/>
        </w:rPr>
        <w:t>CMD</w:t>
      </w:r>
      <w:r w:rsidR="00B55773" w:rsidRPr="00E967CF">
        <w:rPr>
          <w:bCs/>
          <w:lang w:val="en-GB"/>
        </w:rPr>
        <w:t>, cerebral microdialysis;</w:t>
      </w:r>
      <w:r w:rsidR="000E2046" w:rsidRPr="00E967CF">
        <w:rPr>
          <w:bCs/>
          <w:lang w:val="en-GB"/>
        </w:rPr>
        <w:t xml:space="preserve"> </w:t>
      </w:r>
      <w:r w:rsidR="000E2046" w:rsidRPr="00E967CF">
        <w:rPr>
          <w:b/>
          <w:lang w:val="en-GB"/>
        </w:rPr>
        <w:t>ICP</w:t>
      </w:r>
      <w:r w:rsidR="000E2046" w:rsidRPr="00E967CF">
        <w:rPr>
          <w:bCs/>
          <w:lang w:val="en-GB"/>
        </w:rPr>
        <w:t>, intracranial pressure;</w:t>
      </w:r>
      <w:r w:rsidR="00B55773" w:rsidRPr="00E967CF">
        <w:rPr>
          <w:bCs/>
          <w:lang w:val="en-GB"/>
        </w:rPr>
        <w:t xml:space="preserve"> </w:t>
      </w:r>
      <w:r w:rsidR="00B55773" w:rsidRPr="00E967CF">
        <w:rPr>
          <w:b/>
          <w:lang w:val="en-GB"/>
        </w:rPr>
        <w:t>LPR</w:t>
      </w:r>
      <w:r w:rsidR="00B55773" w:rsidRPr="00E967CF">
        <w:rPr>
          <w:bCs/>
          <w:lang w:val="en-GB"/>
        </w:rPr>
        <w:t xml:space="preserve">, lactate/pyruvate ratio; </w:t>
      </w:r>
      <w:r w:rsidR="00B55773" w:rsidRPr="00E967CF">
        <w:rPr>
          <w:b/>
          <w:i/>
          <w:iCs/>
          <w:lang w:val="en-GB"/>
        </w:rPr>
        <w:t>m</w:t>
      </w:r>
      <w:r w:rsidR="00B55773" w:rsidRPr="00E967CF">
        <w:rPr>
          <w:bCs/>
          <w:lang w:val="en-GB"/>
        </w:rPr>
        <w:t xml:space="preserve">, linear </w:t>
      </w:r>
      <w:r w:rsidR="005979B7" w:rsidRPr="00E967CF">
        <w:rPr>
          <w:bCs/>
          <w:lang w:val="en-GB"/>
        </w:rPr>
        <w:t>gradient</w:t>
      </w:r>
      <w:r w:rsidR="00B55773" w:rsidRPr="00E967CF">
        <w:rPr>
          <w:bCs/>
          <w:lang w:val="en-GB"/>
        </w:rPr>
        <w:t xml:space="preserve">; </w:t>
      </w:r>
      <w:r w:rsidR="00B55773" w:rsidRPr="00E967CF">
        <w:rPr>
          <w:b/>
          <w:lang w:val="en-GB"/>
        </w:rPr>
        <w:t>N</w:t>
      </w:r>
      <w:r w:rsidR="00B55773" w:rsidRPr="00E967CF">
        <w:rPr>
          <w:b/>
          <w:i/>
          <w:iCs/>
          <w:vertAlign w:val="subscript"/>
          <w:lang w:val="en-GB"/>
        </w:rPr>
        <w:t>b</w:t>
      </w:r>
      <w:r w:rsidR="00B55773" w:rsidRPr="00E967CF">
        <w:rPr>
          <w:bCs/>
          <w:lang w:val="en-GB"/>
        </w:rPr>
        <w:t>, negative intercept (</w:t>
      </w:r>
      <w:r w:rsidR="00B55773" w:rsidRPr="00E967CF">
        <w:rPr>
          <w:bCs/>
          <w:i/>
          <w:iCs/>
          <w:lang w:val="en-GB"/>
        </w:rPr>
        <w:t>b</w:t>
      </w:r>
      <w:r w:rsidR="00B55773" w:rsidRPr="00E967CF">
        <w:rPr>
          <w:bCs/>
          <w:lang w:val="en-GB"/>
        </w:rPr>
        <w:t xml:space="preserve"> &lt; 0); </w:t>
      </w:r>
      <w:r w:rsidR="00B55773" w:rsidRPr="00E967CF">
        <w:rPr>
          <w:b/>
          <w:lang w:val="en-GB"/>
        </w:rPr>
        <w:t>OLS</w:t>
      </w:r>
      <w:r w:rsidR="00B55773" w:rsidRPr="00E967CF">
        <w:rPr>
          <w:bCs/>
          <w:lang w:val="en-GB"/>
        </w:rPr>
        <w:t xml:space="preserve">, ordinary least squares; </w:t>
      </w:r>
      <w:r w:rsidR="00B55773" w:rsidRPr="00E967CF">
        <w:rPr>
          <w:b/>
          <w:lang w:val="en-GB"/>
        </w:rPr>
        <w:t>P</w:t>
      </w:r>
      <w:r w:rsidR="00B55773" w:rsidRPr="00E967CF">
        <w:rPr>
          <w:b/>
          <w:i/>
          <w:iCs/>
          <w:vertAlign w:val="subscript"/>
          <w:lang w:val="en-GB"/>
        </w:rPr>
        <w:t>b</w:t>
      </w:r>
      <w:r w:rsidR="00B55773" w:rsidRPr="00E967CF">
        <w:rPr>
          <w:bCs/>
          <w:lang w:val="en-GB"/>
        </w:rPr>
        <w:t>, positive intercept (</w:t>
      </w:r>
      <w:r w:rsidR="00B55773" w:rsidRPr="00E967CF">
        <w:rPr>
          <w:bCs/>
          <w:i/>
          <w:iCs/>
          <w:lang w:val="en-GB"/>
        </w:rPr>
        <w:t>b</w:t>
      </w:r>
      <w:r w:rsidR="00B55773" w:rsidRPr="00E967CF">
        <w:rPr>
          <w:bCs/>
          <w:lang w:val="en-GB"/>
        </w:rPr>
        <w:t xml:space="preserve"> &gt; 0)</w:t>
      </w:r>
      <w:r w:rsidR="00735CC9" w:rsidRPr="00E967CF">
        <w:rPr>
          <w:bCs/>
          <w:lang w:val="en-GB"/>
        </w:rPr>
        <w:t xml:space="preserve">; </w:t>
      </w:r>
      <w:r w:rsidR="00735CC9" w:rsidRPr="00E967CF">
        <w:rPr>
          <w:b/>
          <w:lang w:val="en-GB"/>
        </w:rPr>
        <w:t>PbtO</w:t>
      </w:r>
      <w:r w:rsidR="001407A2" w:rsidRPr="00E967CF">
        <w:rPr>
          <w:b/>
          <w:vertAlign w:val="subscript"/>
          <w:lang w:val="en-GB"/>
        </w:rPr>
        <w:t>2</w:t>
      </w:r>
      <w:r w:rsidR="00735CC9" w:rsidRPr="00E967CF">
        <w:rPr>
          <w:bCs/>
          <w:lang w:val="en-GB"/>
        </w:rPr>
        <w:t>, brain tissue partial pressure of oxygen</w:t>
      </w:r>
      <w:r w:rsidR="00B55773" w:rsidRPr="00E967CF">
        <w:rPr>
          <w:bCs/>
          <w:lang w:val="en-GB"/>
        </w:rPr>
        <w:t>.</w:t>
      </w:r>
    </w:p>
    <w:p w14:paraId="60EB01BF" w14:textId="77777777" w:rsidR="009B4C51" w:rsidRPr="00E967CF" w:rsidRDefault="009B4C51" w:rsidP="00313872">
      <w:pPr>
        <w:spacing w:line="240" w:lineRule="auto"/>
        <w:rPr>
          <w:b/>
          <w:lang w:val="en-GB"/>
        </w:rPr>
      </w:pPr>
    </w:p>
    <w:p w14:paraId="26A4C73D" w14:textId="6ACB1630" w:rsidR="00B8724B" w:rsidRPr="00E967CF" w:rsidRDefault="00952B4B" w:rsidP="00313872">
      <w:pPr>
        <w:spacing w:line="240" w:lineRule="auto"/>
        <w:rPr>
          <w:bCs/>
          <w:lang w:val="en-GB"/>
        </w:rPr>
      </w:pPr>
      <w:r w:rsidRPr="00E967CF">
        <w:rPr>
          <w:b/>
          <w:lang w:val="en-GB"/>
        </w:rPr>
        <w:t xml:space="preserve">Figure </w:t>
      </w:r>
      <w:r w:rsidR="00604ABB" w:rsidRPr="00E967CF">
        <w:rPr>
          <w:b/>
          <w:lang w:val="en-GB"/>
        </w:rPr>
        <w:t>2</w:t>
      </w:r>
      <w:r w:rsidRPr="00E967CF">
        <w:rPr>
          <w:b/>
          <w:lang w:val="en-GB"/>
        </w:rPr>
        <w:t xml:space="preserve">. </w:t>
      </w:r>
      <w:r w:rsidR="00CF2830" w:rsidRPr="00E967CF">
        <w:rPr>
          <w:b/>
          <w:lang w:val="en-GB"/>
        </w:rPr>
        <w:t>Lactate–pyruvate segmentation results for</w:t>
      </w:r>
      <w:r w:rsidR="00AC1D3A" w:rsidRPr="00E967CF">
        <w:rPr>
          <w:b/>
          <w:lang w:val="en-GB"/>
        </w:rPr>
        <w:t xml:space="preserve"> 12</w:t>
      </w:r>
      <w:r w:rsidR="00CF2830" w:rsidRPr="00E967CF">
        <w:rPr>
          <w:b/>
          <w:lang w:val="en-GB"/>
        </w:rPr>
        <w:t xml:space="preserve"> </w:t>
      </w:r>
      <w:r w:rsidR="00AC1D3A" w:rsidRPr="00E967CF">
        <w:rPr>
          <w:b/>
          <w:lang w:val="en-GB"/>
        </w:rPr>
        <w:t>representative</w:t>
      </w:r>
      <w:r w:rsidR="00CF2830" w:rsidRPr="00E967CF">
        <w:rPr>
          <w:b/>
          <w:lang w:val="en-GB"/>
        </w:rPr>
        <w:t xml:space="preserve"> patients</w:t>
      </w:r>
      <w:r w:rsidRPr="00E967CF">
        <w:rPr>
          <w:b/>
          <w:lang w:val="en-GB"/>
        </w:rPr>
        <w:t>.</w:t>
      </w:r>
      <w:r w:rsidRPr="00E967CF">
        <w:rPr>
          <w:bCs/>
          <w:lang w:val="en-GB"/>
        </w:rPr>
        <w:t xml:space="preserve"> </w:t>
      </w:r>
      <w:bookmarkStart w:id="46" w:name="_Hlk221443491"/>
      <w:r w:rsidR="00BF3690" w:rsidRPr="00E967CF">
        <w:rPr>
          <w:bCs/>
          <w:lang w:val="en-GB"/>
        </w:rPr>
        <w:t>Each panel</w:t>
      </w:r>
      <w:r w:rsidR="00D15DB2" w:rsidRPr="00E967CF">
        <w:rPr>
          <w:bCs/>
          <w:lang w:val="en-GB"/>
        </w:rPr>
        <w:t xml:space="preserve"> (</w:t>
      </w:r>
      <w:r w:rsidR="00D15DB2" w:rsidRPr="00E967CF">
        <w:rPr>
          <w:b/>
          <w:lang w:val="en-GB"/>
        </w:rPr>
        <w:t>A</w:t>
      </w:r>
      <w:r w:rsidR="00D15DB2" w:rsidRPr="00E967CF">
        <w:rPr>
          <w:bCs/>
          <w:lang w:val="en-GB"/>
        </w:rPr>
        <w:t>–</w:t>
      </w:r>
      <w:r w:rsidR="00D15DB2" w:rsidRPr="00E967CF">
        <w:rPr>
          <w:b/>
          <w:lang w:val="en-GB"/>
        </w:rPr>
        <w:t>L</w:t>
      </w:r>
      <w:r w:rsidR="00D15DB2" w:rsidRPr="00E967CF">
        <w:rPr>
          <w:bCs/>
          <w:lang w:val="en-GB"/>
        </w:rPr>
        <w:t>)</w:t>
      </w:r>
      <w:r w:rsidR="00BF3690" w:rsidRPr="00E967CF">
        <w:rPr>
          <w:bCs/>
          <w:lang w:val="en-GB"/>
        </w:rPr>
        <w:t xml:space="preserve"> shows one patient's segment-level scatter plots with </w:t>
      </w:r>
      <w:r w:rsidR="001079F7" w:rsidRPr="00E967CF">
        <w:rPr>
          <w:bCs/>
          <w:lang w:val="en-GB"/>
        </w:rPr>
        <w:t>ordinary least squares</w:t>
      </w:r>
      <w:r w:rsidR="00BF3690" w:rsidRPr="00E967CF">
        <w:rPr>
          <w:bCs/>
          <w:lang w:val="en-GB"/>
        </w:rPr>
        <w:t xml:space="preserve"> regression lines. Data points are coloured according to their assigned segment, which are temporally distinct and sequential; for any given patient, </w:t>
      </w:r>
      <w:r w:rsidR="007A06C6" w:rsidRPr="00E967CF">
        <w:rPr>
          <w:bCs/>
          <w:lang w:val="en-GB"/>
        </w:rPr>
        <w:t>all data points belonging to 'Segment 1' occur before those in 'Segment 2', and so on. Segments are distinctly coloured in temporal order (orange first, blue second, then green).</w:t>
      </w:r>
      <w:r w:rsidR="00BF3690" w:rsidRPr="00E967CF">
        <w:rPr>
          <w:bCs/>
          <w:lang w:val="en-GB"/>
        </w:rPr>
        <w:t xml:space="preserve"> All segments shown for these patients had positive </w:t>
      </w:r>
      <w:r w:rsidR="005979B7" w:rsidRPr="00E967CF">
        <w:rPr>
          <w:bCs/>
          <w:lang w:val="en-GB"/>
        </w:rPr>
        <w:t>gradient</w:t>
      </w:r>
      <w:r w:rsidR="00BF3690" w:rsidRPr="00E967CF">
        <w:rPr>
          <w:bCs/>
          <w:lang w:val="en-GB"/>
        </w:rPr>
        <w:t>s (</w:t>
      </w:r>
      <w:r w:rsidR="00BF3690" w:rsidRPr="00E967CF">
        <w:rPr>
          <w:bCs/>
          <w:i/>
          <w:iCs/>
          <w:lang w:val="en-GB"/>
        </w:rPr>
        <w:t>m</w:t>
      </w:r>
      <w:r w:rsidR="00BF3690" w:rsidRPr="00E967CF">
        <w:rPr>
          <w:bCs/>
          <w:lang w:val="en-GB"/>
        </w:rPr>
        <w:t xml:space="preserve"> &gt; 0).</w:t>
      </w:r>
      <w:bookmarkStart w:id="47" w:name="_Hlk221455106"/>
      <w:bookmarkEnd w:id="46"/>
    </w:p>
    <w:p w14:paraId="2815AFB5" w14:textId="77777777" w:rsidR="00B8724B" w:rsidRPr="00E967CF" w:rsidRDefault="00B8724B">
      <w:pPr>
        <w:spacing w:before="0" w:line="240" w:lineRule="auto"/>
        <w:jc w:val="left"/>
        <w:rPr>
          <w:bCs/>
          <w:lang w:val="en-GB"/>
        </w:rPr>
      </w:pPr>
      <w:r w:rsidRPr="00E967CF">
        <w:rPr>
          <w:bCs/>
          <w:lang w:val="en-GB"/>
        </w:rPr>
        <w:br w:type="page"/>
      </w:r>
    </w:p>
    <w:p w14:paraId="29CEF57E" w14:textId="5A7391DB" w:rsidR="00313872" w:rsidRPr="00E967CF" w:rsidRDefault="005554C1" w:rsidP="00313872">
      <w:pPr>
        <w:spacing w:line="240" w:lineRule="auto"/>
        <w:rPr>
          <w:bCs/>
          <w:lang w:val="en-GB"/>
        </w:rPr>
      </w:pPr>
      <w:r w:rsidRPr="00E967CF">
        <w:rPr>
          <w:b/>
          <w:lang w:val="en-GB"/>
        </w:rPr>
        <w:lastRenderedPageBreak/>
        <w:t xml:space="preserve">Figure </w:t>
      </w:r>
      <w:r w:rsidR="00604ABB" w:rsidRPr="00E967CF">
        <w:rPr>
          <w:b/>
          <w:lang w:val="en-GB"/>
        </w:rPr>
        <w:t>3</w:t>
      </w:r>
      <w:r w:rsidRPr="00E967CF">
        <w:rPr>
          <w:b/>
          <w:lang w:val="en-GB"/>
        </w:rPr>
        <w:t xml:space="preserve">. </w:t>
      </w:r>
      <w:r w:rsidR="0023281C" w:rsidRPr="00E967CF">
        <w:rPr>
          <w:b/>
          <w:lang w:val="en-GB"/>
        </w:rPr>
        <w:t>Empirical lactate–pyruvate relationships across retained segments.</w:t>
      </w:r>
      <w:r w:rsidRPr="00E967CF">
        <w:rPr>
          <w:bCs/>
          <w:lang w:val="en-GB"/>
        </w:rPr>
        <w:t xml:space="preserve"> </w:t>
      </w:r>
      <w:r w:rsidR="009B2998" w:rsidRPr="00E967CF">
        <w:rPr>
          <w:bCs/>
          <w:lang w:val="en-GB"/>
        </w:rPr>
        <w:t xml:space="preserve">Left panels display lactate vs. pyruvate (linear space); right panels display LPR vs. pyruvate (hyperbolic space). Thin lines represent individual segment-level </w:t>
      </w:r>
      <w:r w:rsidR="00700CB2" w:rsidRPr="00E967CF">
        <w:rPr>
          <w:bCs/>
          <w:lang w:val="en-GB"/>
        </w:rPr>
        <w:t>ordinary least squares</w:t>
      </w:r>
      <w:r w:rsidR="009B2998" w:rsidRPr="00E967CF">
        <w:rPr>
          <w:bCs/>
          <w:lang w:val="en-GB"/>
        </w:rPr>
        <w:t xml:space="preserve"> fits; thick lines represent the cohort median trend. Dashed horizontal lines indicate the </w:t>
      </w:r>
      <w:r w:rsidR="005979B7" w:rsidRPr="00E967CF">
        <w:rPr>
          <w:bCs/>
          <w:lang w:val="en-GB"/>
        </w:rPr>
        <w:t>gradient</w:t>
      </w:r>
      <w:r w:rsidR="009B2998" w:rsidRPr="00E967CF">
        <w:rPr>
          <w:bCs/>
          <w:lang w:val="en-GB"/>
        </w:rPr>
        <w:t xml:space="preserve"> asymptote (</w:t>
      </w:r>
      <w:r w:rsidR="009B2998" w:rsidRPr="00E967CF">
        <w:rPr>
          <w:bCs/>
          <w:i/>
          <w:iCs/>
          <w:lang w:val="en-GB"/>
        </w:rPr>
        <w:t>m</w:t>
      </w:r>
      <w:r w:rsidR="009B2998" w:rsidRPr="00E967CF">
        <w:rPr>
          <w:bCs/>
          <w:lang w:val="en-GB"/>
        </w:rPr>
        <w:t>).</w:t>
      </w:r>
      <w:r w:rsidR="00313872" w:rsidRPr="00E967CF">
        <w:rPr>
          <w:bCs/>
          <w:lang w:val="en-GB"/>
        </w:rPr>
        <w:t xml:space="preserve"> </w:t>
      </w:r>
      <w:r w:rsidR="009B2998" w:rsidRPr="00E967CF">
        <w:rPr>
          <w:bCs/>
          <w:lang w:val="en-GB"/>
        </w:rPr>
        <w:t>(</w:t>
      </w:r>
      <w:r w:rsidR="009B2998" w:rsidRPr="00E967CF">
        <w:rPr>
          <w:b/>
          <w:lang w:val="en-GB"/>
        </w:rPr>
        <w:t>A</w:t>
      </w:r>
      <w:r w:rsidR="005653E0" w:rsidRPr="00E967CF">
        <w:rPr>
          <w:bCs/>
          <w:lang w:val="en-GB"/>
        </w:rPr>
        <w:t>–</w:t>
      </w:r>
      <w:r w:rsidR="009B2998" w:rsidRPr="00E967CF">
        <w:rPr>
          <w:b/>
          <w:lang w:val="en-GB"/>
        </w:rPr>
        <w:t>B</w:t>
      </w:r>
      <w:r w:rsidR="009B2998" w:rsidRPr="00E967CF">
        <w:rPr>
          <w:bCs/>
          <w:lang w:val="en-GB"/>
        </w:rPr>
        <w:t>) Unstratified: all 1,339 retained segments from 506 patients, coloured by intercept type (teal = Type P</w:t>
      </w:r>
      <w:r w:rsidR="009B2998" w:rsidRPr="00E967CF">
        <w:rPr>
          <w:bCs/>
          <w:i/>
          <w:iCs/>
          <w:vertAlign w:val="subscript"/>
          <w:lang w:val="en-GB"/>
        </w:rPr>
        <w:t>b</w:t>
      </w:r>
      <w:r w:rsidR="009B2998" w:rsidRPr="00E967CF">
        <w:rPr>
          <w:bCs/>
          <w:lang w:val="en-GB"/>
        </w:rPr>
        <w:t>, gold = Type N</w:t>
      </w:r>
      <w:r w:rsidR="009B2998" w:rsidRPr="00E967CF">
        <w:rPr>
          <w:bCs/>
          <w:i/>
          <w:iCs/>
          <w:vertAlign w:val="subscript"/>
          <w:lang w:val="en-GB"/>
        </w:rPr>
        <w:t>b</w:t>
      </w:r>
      <w:r w:rsidR="009B2998" w:rsidRPr="00E967CF">
        <w:rPr>
          <w:bCs/>
          <w:lang w:val="en-GB"/>
        </w:rPr>
        <w:t>) with cohort median trend (brown).</w:t>
      </w:r>
      <w:r w:rsidR="00313872" w:rsidRPr="00E967CF">
        <w:rPr>
          <w:bCs/>
          <w:lang w:val="en-GB"/>
        </w:rPr>
        <w:t xml:space="preserve"> </w:t>
      </w:r>
      <w:r w:rsidR="009B2998" w:rsidRPr="00E967CF">
        <w:rPr>
          <w:bCs/>
          <w:lang w:val="en-GB"/>
        </w:rPr>
        <w:t>(</w:t>
      </w:r>
      <w:r w:rsidR="009B2998" w:rsidRPr="00E967CF">
        <w:rPr>
          <w:b/>
          <w:lang w:val="en-GB"/>
        </w:rPr>
        <w:t>C</w:t>
      </w:r>
      <w:r w:rsidR="005653E0" w:rsidRPr="00E967CF">
        <w:rPr>
          <w:bCs/>
          <w:lang w:val="en-GB"/>
        </w:rPr>
        <w:t>–</w:t>
      </w:r>
      <w:r w:rsidR="009B2998" w:rsidRPr="00E967CF">
        <w:rPr>
          <w:b/>
          <w:lang w:val="en-GB"/>
        </w:rPr>
        <w:t>D</w:t>
      </w:r>
      <w:r w:rsidR="009B2998" w:rsidRPr="00E967CF">
        <w:rPr>
          <w:bCs/>
          <w:lang w:val="en-GB"/>
        </w:rPr>
        <w:t>) Type P</w:t>
      </w:r>
      <w:r w:rsidR="009B2998" w:rsidRPr="00E967CF">
        <w:rPr>
          <w:bCs/>
          <w:i/>
          <w:iCs/>
          <w:vertAlign w:val="subscript"/>
          <w:lang w:val="en-GB"/>
        </w:rPr>
        <w:t>b</w:t>
      </w:r>
      <w:r w:rsidR="009B2998" w:rsidRPr="00E967CF">
        <w:rPr>
          <w:bCs/>
          <w:lang w:val="en-GB"/>
        </w:rPr>
        <w:t xml:space="preserve"> segments: 967 segments, 476 patients. </w:t>
      </w:r>
      <w:r w:rsidR="00733C18" w:rsidRPr="00E967CF">
        <w:rPr>
          <w:bCs/>
          <w:lang w:val="en-GB"/>
        </w:rPr>
        <w:t xml:space="preserve">Positive intercepts produce LPR hyperbolae that decrease toward the asymptote </w:t>
      </w:r>
      <w:r w:rsidR="00733C18" w:rsidRPr="00E967CF">
        <w:rPr>
          <w:bCs/>
          <w:i/>
          <w:iCs/>
          <w:lang w:val="en-GB"/>
        </w:rPr>
        <w:t>m</w:t>
      </w:r>
      <w:r w:rsidR="00733C18" w:rsidRPr="00E967CF">
        <w:rPr>
          <w:bCs/>
          <w:lang w:val="en-GB"/>
        </w:rPr>
        <w:t xml:space="preserve"> as pyruvate increases.</w:t>
      </w:r>
      <w:r w:rsidR="00313872" w:rsidRPr="00E967CF">
        <w:rPr>
          <w:bCs/>
          <w:lang w:val="en-GB"/>
        </w:rPr>
        <w:t xml:space="preserve"> </w:t>
      </w:r>
      <w:r w:rsidR="009B2998" w:rsidRPr="00E967CF">
        <w:rPr>
          <w:bCs/>
          <w:lang w:val="en-GB"/>
        </w:rPr>
        <w:t>(</w:t>
      </w:r>
      <w:r w:rsidR="009B2998" w:rsidRPr="00E967CF">
        <w:rPr>
          <w:b/>
          <w:lang w:val="en-GB"/>
        </w:rPr>
        <w:t>E</w:t>
      </w:r>
      <w:r w:rsidR="005653E0" w:rsidRPr="00E967CF">
        <w:rPr>
          <w:bCs/>
          <w:lang w:val="en-GB"/>
        </w:rPr>
        <w:t>–</w:t>
      </w:r>
      <w:r w:rsidR="009B2998" w:rsidRPr="00E967CF">
        <w:rPr>
          <w:b/>
          <w:lang w:val="en-GB"/>
        </w:rPr>
        <w:t>F</w:t>
      </w:r>
      <w:r w:rsidR="009B2998" w:rsidRPr="00E967CF">
        <w:rPr>
          <w:bCs/>
          <w:lang w:val="en-GB"/>
        </w:rPr>
        <w:t>) Type N</w:t>
      </w:r>
      <w:r w:rsidR="009B2998" w:rsidRPr="00E967CF">
        <w:rPr>
          <w:bCs/>
          <w:i/>
          <w:iCs/>
          <w:vertAlign w:val="subscript"/>
          <w:lang w:val="en-GB"/>
        </w:rPr>
        <w:t>b</w:t>
      </w:r>
      <w:r w:rsidR="009B2998" w:rsidRPr="00E967CF">
        <w:rPr>
          <w:bCs/>
          <w:lang w:val="en-GB"/>
        </w:rPr>
        <w:t xml:space="preserve"> segments: 372 segments, 276 patients. </w:t>
      </w:r>
      <w:r w:rsidR="00B80F32" w:rsidRPr="00E967CF">
        <w:rPr>
          <w:bCs/>
          <w:lang w:val="en-GB"/>
        </w:rPr>
        <w:t xml:space="preserve">Negative intercepts produce LPR hyperbolae that increase toward the asymptote </w:t>
      </w:r>
      <w:r w:rsidR="00B80F32" w:rsidRPr="00E967CF">
        <w:rPr>
          <w:bCs/>
          <w:i/>
          <w:iCs/>
          <w:lang w:val="en-GB"/>
        </w:rPr>
        <w:t>m</w:t>
      </w:r>
      <w:r w:rsidR="00B80F32" w:rsidRPr="00E967CF">
        <w:rPr>
          <w:bCs/>
          <w:lang w:val="en-GB"/>
        </w:rPr>
        <w:t xml:space="preserve"> as pyruvate increases.</w:t>
      </w:r>
      <w:r w:rsidR="00313872" w:rsidRPr="00E967CF">
        <w:rPr>
          <w:bCs/>
          <w:lang w:val="en-GB"/>
        </w:rPr>
        <w:t xml:space="preserve"> </w:t>
      </w:r>
      <w:r w:rsidR="009B2998" w:rsidRPr="00E967CF">
        <w:rPr>
          <w:bCs/>
          <w:lang w:val="en-GB"/>
        </w:rPr>
        <w:t>(</w:t>
      </w:r>
      <w:r w:rsidR="009B2998" w:rsidRPr="00E967CF">
        <w:rPr>
          <w:b/>
          <w:lang w:val="en-GB"/>
        </w:rPr>
        <w:t>G</w:t>
      </w:r>
      <w:r w:rsidR="005653E0" w:rsidRPr="00E967CF">
        <w:rPr>
          <w:bCs/>
          <w:lang w:val="en-GB"/>
        </w:rPr>
        <w:t>–</w:t>
      </w:r>
      <w:r w:rsidR="009B2998" w:rsidRPr="00E967CF">
        <w:rPr>
          <w:b/>
          <w:lang w:val="en-GB"/>
        </w:rPr>
        <w:t>H</w:t>
      </w:r>
      <w:r w:rsidR="009B2998" w:rsidRPr="00E967CF">
        <w:rPr>
          <w:bCs/>
          <w:lang w:val="en-GB"/>
        </w:rPr>
        <w:t>) Combined overlay comparing Type P</w:t>
      </w:r>
      <w:r w:rsidR="009B2998" w:rsidRPr="00E967CF">
        <w:rPr>
          <w:bCs/>
          <w:i/>
          <w:iCs/>
          <w:vertAlign w:val="subscript"/>
          <w:lang w:val="en-GB"/>
        </w:rPr>
        <w:t>b</w:t>
      </w:r>
      <w:r w:rsidR="009B2998" w:rsidRPr="00E967CF">
        <w:rPr>
          <w:bCs/>
          <w:lang w:val="en-GB"/>
        </w:rPr>
        <w:t xml:space="preserve"> and Type N</w:t>
      </w:r>
      <w:r w:rsidR="009B2998" w:rsidRPr="00E967CF">
        <w:rPr>
          <w:bCs/>
          <w:i/>
          <w:iCs/>
          <w:vertAlign w:val="subscript"/>
          <w:lang w:val="en-GB"/>
        </w:rPr>
        <w:t>b</w:t>
      </w:r>
      <w:r w:rsidR="009B2998" w:rsidRPr="00E967CF">
        <w:rPr>
          <w:bCs/>
          <w:lang w:val="en-GB"/>
        </w:rPr>
        <w:t xml:space="preserve"> cohort median trends.</w:t>
      </w:r>
      <w:r w:rsidR="00A96793" w:rsidRPr="00E967CF">
        <w:rPr>
          <w:bCs/>
          <w:lang w:val="en-GB"/>
        </w:rPr>
        <w:t xml:space="preserve"> </w:t>
      </w:r>
      <w:r w:rsidR="009B2998" w:rsidRPr="00E967CF">
        <w:rPr>
          <w:b/>
          <w:i/>
          <w:iCs/>
          <w:lang w:val="en-GB"/>
        </w:rPr>
        <w:t>b</w:t>
      </w:r>
      <w:r w:rsidR="009B2998" w:rsidRPr="00E967CF">
        <w:rPr>
          <w:bCs/>
          <w:lang w:val="en-GB"/>
        </w:rPr>
        <w:t xml:space="preserve">, linear intercept; </w:t>
      </w:r>
      <w:r w:rsidR="009B2998" w:rsidRPr="00E967CF">
        <w:rPr>
          <w:b/>
          <w:lang w:val="en-GB"/>
        </w:rPr>
        <w:t>LPR</w:t>
      </w:r>
      <w:r w:rsidR="009B2998" w:rsidRPr="00E967CF">
        <w:rPr>
          <w:bCs/>
          <w:lang w:val="en-GB"/>
        </w:rPr>
        <w:t xml:space="preserve">, lactate/pyruvate ratio; </w:t>
      </w:r>
      <w:r w:rsidR="009B2998" w:rsidRPr="00E967CF">
        <w:rPr>
          <w:b/>
          <w:i/>
          <w:iCs/>
          <w:lang w:val="en-GB"/>
        </w:rPr>
        <w:t>m</w:t>
      </w:r>
      <w:r w:rsidR="009B2998" w:rsidRPr="00E967CF">
        <w:rPr>
          <w:bCs/>
          <w:lang w:val="en-GB"/>
        </w:rPr>
        <w:t xml:space="preserve">, linear </w:t>
      </w:r>
      <w:r w:rsidR="005979B7" w:rsidRPr="00E967CF">
        <w:rPr>
          <w:bCs/>
          <w:lang w:val="en-GB"/>
        </w:rPr>
        <w:t>gradient</w:t>
      </w:r>
      <w:r w:rsidR="009B2998" w:rsidRPr="00E967CF">
        <w:rPr>
          <w:bCs/>
          <w:lang w:val="en-GB"/>
        </w:rPr>
        <w:t xml:space="preserve">; </w:t>
      </w:r>
      <w:r w:rsidR="009B2998" w:rsidRPr="00E967CF">
        <w:rPr>
          <w:b/>
          <w:lang w:val="en-GB"/>
        </w:rPr>
        <w:t>N</w:t>
      </w:r>
      <w:r w:rsidR="009B2998" w:rsidRPr="00E967CF">
        <w:rPr>
          <w:b/>
          <w:i/>
          <w:iCs/>
          <w:vertAlign w:val="subscript"/>
          <w:lang w:val="en-GB"/>
        </w:rPr>
        <w:t>b</w:t>
      </w:r>
      <w:r w:rsidR="009B2998" w:rsidRPr="00E967CF">
        <w:rPr>
          <w:bCs/>
          <w:lang w:val="en-GB"/>
        </w:rPr>
        <w:t>, negative intercept</w:t>
      </w:r>
      <w:r w:rsidR="00B30898" w:rsidRPr="00E967CF">
        <w:rPr>
          <w:bCs/>
          <w:lang w:val="en-GB"/>
        </w:rPr>
        <w:t xml:space="preserve"> (</w:t>
      </w:r>
      <w:r w:rsidR="00B30898" w:rsidRPr="00E967CF">
        <w:rPr>
          <w:bCs/>
          <w:i/>
          <w:iCs/>
          <w:lang w:val="en-GB"/>
        </w:rPr>
        <w:t>b</w:t>
      </w:r>
      <w:r w:rsidR="00B30898" w:rsidRPr="00E967CF">
        <w:rPr>
          <w:bCs/>
          <w:lang w:val="en-GB"/>
        </w:rPr>
        <w:t xml:space="preserve"> &lt; 0)</w:t>
      </w:r>
      <w:r w:rsidR="009B2998" w:rsidRPr="00E967CF">
        <w:rPr>
          <w:bCs/>
          <w:lang w:val="en-GB"/>
        </w:rPr>
        <w:t xml:space="preserve">; </w:t>
      </w:r>
      <w:r w:rsidR="009B2998" w:rsidRPr="00E967CF">
        <w:rPr>
          <w:b/>
          <w:lang w:val="en-GB"/>
        </w:rPr>
        <w:t>P</w:t>
      </w:r>
      <w:r w:rsidR="009B2998" w:rsidRPr="00E967CF">
        <w:rPr>
          <w:b/>
          <w:i/>
          <w:iCs/>
          <w:vertAlign w:val="subscript"/>
          <w:lang w:val="en-GB"/>
        </w:rPr>
        <w:t>b</w:t>
      </w:r>
      <w:r w:rsidR="009B2998" w:rsidRPr="00E967CF">
        <w:rPr>
          <w:bCs/>
          <w:lang w:val="en-GB"/>
        </w:rPr>
        <w:t>, positive intercept</w:t>
      </w:r>
      <w:r w:rsidR="00B30898" w:rsidRPr="00E967CF">
        <w:rPr>
          <w:bCs/>
          <w:lang w:val="en-GB"/>
        </w:rPr>
        <w:t xml:space="preserve"> (</w:t>
      </w:r>
      <w:r w:rsidR="00B30898" w:rsidRPr="00E967CF">
        <w:rPr>
          <w:bCs/>
          <w:i/>
          <w:iCs/>
          <w:lang w:val="en-GB"/>
        </w:rPr>
        <w:t>b</w:t>
      </w:r>
      <w:r w:rsidR="00B30898" w:rsidRPr="00E967CF">
        <w:rPr>
          <w:bCs/>
          <w:lang w:val="en-GB"/>
        </w:rPr>
        <w:t xml:space="preserve"> &gt; 0)</w:t>
      </w:r>
      <w:r w:rsidR="00765585" w:rsidRPr="00E967CF">
        <w:rPr>
          <w:bCs/>
          <w:lang w:val="en-GB"/>
        </w:rPr>
        <w:t>.</w:t>
      </w:r>
      <w:bookmarkEnd w:id="47"/>
    </w:p>
    <w:p w14:paraId="1142D09E" w14:textId="77777777" w:rsidR="00422AC6" w:rsidRPr="00E967CF" w:rsidRDefault="00422AC6" w:rsidP="00313872">
      <w:pPr>
        <w:spacing w:line="240" w:lineRule="auto"/>
        <w:rPr>
          <w:bCs/>
          <w:lang w:val="en-GB"/>
        </w:rPr>
      </w:pPr>
    </w:p>
    <w:p w14:paraId="5B625ED2" w14:textId="490D5674" w:rsidR="006863C9" w:rsidRPr="00E967CF" w:rsidRDefault="00CD50A6" w:rsidP="00D77A64">
      <w:pPr>
        <w:spacing w:line="240" w:lineRule="auto"/>
        <w:rPr>
          <w:bCs/>
          <w:lang w:val="en-GB"/>
        </w:rPr>
      </w:pPr>
      <w:r w:rsidRPr="00E967CF">
        <w:rPr>
          <w:b/>
          <w:lang w:val="en-GB"/>
        </w:rPr>
        <w:t xml:space="preserve">Figure </w:t>
      </w:r>
      <w:r w:rsidR="00604ABB" w:rsidRPr="00E967CF">
        <w:rPr>
          <w:b/>
          <w:lang w:val="en-GB"/>
        </w:rPr>
        <w:t>4</w:t>
      </w:r>
      <w:r w:rsidRPr="00E967CF">
        <w:rPr>
          <w:b/>
          <w:lang w:val="en-GB"/>
        </w:rPr>
        <w:t xml:space="preserve">. LPR deviation from the underlying </w:t>
      </w:r>
      <w:r w:rsidR="005979B7" w:rsidRPr="00E967CF">
        <w:rPr>
          <w:b/>
          <w:lang w:val="en-GB"/>
        </w:rPr>
        <w:t>gradient</w:t>
      </w:r>
      <w:r w:rsidRPr="00E967CF">
        <w:rPr>
          <w:b/>
          <w:lang w:val="en-GB"/>
        </w:rPr>
        <w:t xml:space="preserve"> (</w:t>
      </w:r>
      <w:r w:rsidRPr="00E967CF">
        <w:rPr>
          <w:b/>
          <w:i/>
          <w:iCs/>
          <w:lang w:val="en-GB"/>
        </w:rPr>
        <w:t>m</w:t>
      </w:r>
      <w:r w:rsidRPr="00E967CF">
        <w:rPr>
          <w:b/>
          <w:lang w:val="en-GB"/>
        </w:rPr>
        <w:t xml:space="preserve">) in </w:t>
      </w:r>
      <w:r w:rsidR="00937CFC" w:rsidRPr="00E967CF">
        <w:rPr>
          <w:b/>
          <w:lang w:val="en-GB"/>
        </w:rPr>
        <w:t xml:space="preserve">a representative </w:t>
      </w:r>
      <w:r w:rsidRPr="00E967CF">
        <w:rPr>
          <w:b/>
          <w:lang w:val="en-GB"/>
        </w:rPr>
        <w:t>patient.</w:t>
      </w:r>
      <w:r w:rsidR="005C289A" w:rsidRPr="00E967CF">
        <w:rPr>
          <w:bCs/>
          <w:lang w:val="en-GB"/>
        </w:rPr>
        <w:t xml:space="preserve"> </w:t>
      </w:r>
      <w:r w:rsidR="001521AE" w:rsidRPr="00E967CF">
        <w:rPr>
          <w:bCs/>
          <w:lang w:val="en-GB"/>
        </w:rPr>
        <w:t>(</w:t>
      </w:r>
      <w:r w:rsidR="001521AE" w:rsidRPr="00E967CF">
        <w:rPr>
          <w:b/>
          <w:lang w:val="en-GB"/>
        </w:rPr>
        <w:t>A</w:t>
      </w:r>
      <w:r w:rsidR="001521AE" w:rsidRPr="00E967CF">
        <w:rPr>
          <w:bCs/>
          <w:lang w:val="en-GB"/>
        </w:rPr>
        <w:t>) Lactate vs. pyruvate for the patient's two retained segments (linear fits overlaid). (</w:t>
      </w:r>
      <w:r w:rsidR="001521AE" w:rsidRPr="00E967CF">
        <w:rPr>
          <w:b/>
          <w:lang w:val="en-GB"/>
        </w:rPr>
        <w:t>B</w:t>
      </w:r>
      <w:r w:rsidR="001521AE" w:rsidRPr="00E967CF">
        <w:rPr>
          <w:bCs/>
          <w:lang w:val="en-GB"/>
        </w:rPr>
        <w:t>) The initial Type N</w:t>
      </w:r>
      <w:r w:rsidR="001521AE" w:rsidRPr="00E967CF">
        <w:rPr>
          <w:bCs/>
          <w:i/>
          <w:iCs/>
          <w:vertAlign w:val="subscript"/>
          <w:lang w:val="en-GB"/>
        </w:rPr>
        <w:t>b</w:t>
      </w:r>
      <w:r w:rsidR="001521AE" w:rsidRPr="00E967CF">
        <w:rPr>
          <w:bCs/>
          <w:lang w:val="en-GB"/>
        </w:rPr>
        <w:t xml:space="preserve"> segment (gold triangles; </w:t>
      </w:r>
      <w:r w:rsidR="001521AE" w:rsidRPr="00E967CF">
        <w:rPr>
          <w:bCs/>
          <w:i/>
          <w:iCs/>
          <w:lang w:val="en-GB"/>
        </w:rPr>
        <w:t>m</w:t>
      </w:r>
      <w:r w:rsidR="001521AE" w:rsidRPr="00E967CF">
        <w:rPr>
          <w:bCs/>
          <w:lang w:val="en-GB"/>
        </w:rPr>
        <w:t xml:space="preserve"> = 28.76, </w:t>
      </w:r>
      <w:r w:rsidR="001521AE" w:rsidRPr="00E967CF">
        <w:rPr>
          <w:bCs/>
          <w:i/>
          <w:iCs/>
          <w:lang w:val="en-GB"/>
        </w:rPr>
        <w:t>b</w:t>
      </w:r>
      <w:r w:rsidR="001521AE" w:rsidRPr="00E967CF">
        <w:rPr>
          <w:bCs/>
          <w:lang w:val="en-GB"/>
        </w:rPr>
        <w:t xml:space="preserve"> = -0.74 mM, </w:t>
      </w:r>
      <w:r w:rsidR="001521AE" w:rsidRPr="00E967CF">
        <w:rPr>
          <w:bCs/>
          <w:i/>
          <w:iCs/>
          <w:lang w:val="en-GB"/>
        </w:rPr>
        <w:t>r</w:t>
      </w:r>
      <w:r w:rsidR="001521AE" w:rsidRPr="00E967CF">
        <w:rPr>
          <w:bCs/>
          <w:lang w:val="en-GB"/>
        </w:rPr>
        <w:t xml:space="preserve"> = 0.92). (</w:t>
      </w:r>
      <w:r w:rsidR="001521AE" w:rsidRPr="00E967CF">
        <w:rPr>
          <w:b/>
          <w:lang w:val="en-GB"/>
        </w:rPr>
        <w:t>C</w:t>
      </w:r>
      <w:r w:rsidR="001521AE" w:rsidRPr="00E967CF">
        <w:rPr>
          <w:bCs/>
          <w:lang w:val="en-GB"/>
        </w:rPr>
        <w:t>) The subsequent Type P</w:t>
      </w:r>
      <w:r w:rsidR="001521AE" w:rsidRPr="00E967CF">
        <w:rPr>
          <w:bCs/>
          <w:i/>
          <w:iCs/>
          <w:vertAlign w:val="subscript"/>
          <w:lang w:val="en-GB"/>
        </w:rPr>
        <w:t>b</w:t>
      </w:r>
      <w:r w:rsidR="001521AE" w:rsidRPr="00E967CF">
        <w:rPr>
          <w:bCs/>
          <w:lang w:val="en-GB"/>
        </w:rPr>
        <w:t xml:space="preserve"> segment (teal circles; </w:t>
      </w:r>
      <w:r w:rsidR="001521AE" w:rsidRPr="00E967CF">
        <w:rPr>
          <w:bCs/>
          <w:i/>
          <w:iCs/>
          <w:lang w:val="en-GB"/>
        </w:rPr>
        <w:t>m</w:t>
      </w:r>
      <w:r w:rsidR="001521AE" w:rsidRPr="00E967CF">
        <w:rPr>
          <w:bCs/>
          <w:lang w:val="en-GB"/>
        </w:rPr>
        <w:t xml:space="preserve"> = 10.67, </w:t>
      </w:r>
      <w:r w:rsidR="001521AE" w:rsidRPr="00E967CF">
        <w:rPr>
          <w:bCs/>
          <w:i/>
          <w:iCs/>
          <w:lang w:val="en-GB"/>
        </w:rPr>
        <w:t>b</w:t>
      </w:r>
      <w:r w:rsidR="001521AE" w:rsidRPr="00E967CF">
        <w:rPr>
          <w:bCs/>
          <w:lang w:val="en-GB"/>
        </w:rPr>
        <w:t xml:space="preserve"> = 0.72 mM, </w:t>
      </w:r>
      <w:r w:rsidR="001521AE" w:rsidRPr="00E967CF">
        <w:rPr>
          <w:bCs/>
          <w:i/>
          <w:iCs/>
          <w:lang w:val="en-GB"/>
        </w:rPr>
        <w:t>r</w:t>
      </w:r>
      <w:r w:rsidR="001521AE" w:rsidRPr="00E967CF">
        <w:rPr>
          <w:bCs/>
          <w:lang w:val="en-GB"/>
        </w:rPr>
        <w:t xml:space="preserve"> = 0.74). (</w:t>
      </w:r>
      <w:r w:rsidR="001521AE" w:rsidRPr="00E967CF">
        <w:rPr>
          <w:b/>
          <w:lang w:val="en-GB"/>
        </w:rPr>
        <w:t>D</w:t>
      </w:r>
      <w:r w:rsidR="001521AE" w:rsidRPr="00E967CF">
        <w:rPr>
          <w:bCs/>
          <w:lang w:val="en-GB"/>
        </w:rPr>
        <w:t xml:space="preserve">) LPR (y-axis) plotted against time since injury (hours) for both segments. Dashed horizontal lines indicate the </w:t>
      </w:r>
      <w:r w:rsidR="005979B7" w:rsidRPr="00E967CF">
        <w:rPr>
          <w:bCs/>
          <w:lang w:val="en-GB"/>
        </w:rPr>
        <w:t>gradient</w:t>
      </w:r>
      <w:r w:rsidR="001521AE" w:rsidRPr="00E967CF">
        <w:rPr>
          <w:bCs/>
          <w:lang w:val="en-GB"/>
        </w:rPr>
        <w:t xml:space="preserve"> (</w:t>
      </w:r>
      <w:r w:rsidR="001521AE" w:rsidRPr="00E967CF">
        <w:rPr>
          <w:bCs/>
          <w:i/>
          <w:iCs/>
          <w:lang w:val="en-GB"/>
        </w:rPr>
        <w:t>m</w:t>
      </w:r>
      <w:r w:rsidR="001521AE" w:rsidRPr="00E967CF">
        <w:rPr>
          <w:bCs/>
          <w:lang w:val="en-GB"/>
        </w:rPr>
        <w:t xml:space="preserve">) for each segment; shaded regions highlight the deviation of the observed LPR from </w:t>
      </w:r>
      <w:r w:rsidR="001521AE" w:rsidRPr="00E967CF">
        <w:rPr>
          <w:bCs/>
          <w:i/>
          <w:iCs/>
          <w:lang w:val="en-GB"/>
        </w:rPr>
        <w:t>m</w:t>
      </w:r>
      <w:r w:rsidR="001521AE" w:rsidRPr="00E967CF">
        <w:rPr>
          <w:bCs/>
          <w:lang w:val="en-GB"/>
        </w:rPr>
        <w:t>. In the Type N</w:t>
      </w:r>
      <w:r w:rsidR="001521AE" w:rsidRPr="00E967CF">
        <w:rPr>
          <w:bCs/>
          <w:i/>
          <w:iCs/>
          <w:vertAlign w:val="subscript"/>
          <w:lang w:val="en-GB"/>
        </w:rPr>
        <w:t>b</w:t>
      </w:r>
      <w:r w:rsidR="001521AE" w:rsidRPr="00E967CF">
        <w:rPr>
          <w:bCs/>
          <w:lang w:val="en-GB"/>
        </w:rPr>
        <w:t xml:space="preserve"> segment, LPR (range: 5.9–27.7) consistently underestimated the </w:t>
      </w:r>
      <w:r w:rsidR="005979B7" w:rsidRPr="00E967CF">
        <w:rPr>
          <w:bCs/>
          <w:lang w:val="en-GB"/>
        </w:rPr>
        <w:t>gradient</w:t>
      </w:r>
      <w:r w:rsidR="001521AE" w:rsidRPr="00E967CF">
        <w:rPr>
          <w:bCs/>
          <w:lang w:val="en-GB"/>
        </w:rPr>
        <w:t>, while in the Type P</w:t>
      </w:r>
      <w:r w:rsidR="001521AE" w:rsidRPr="00E967CF">
        <w:rPr>
          <w:bCs/>
          <w:i/>
          <w:iCs/>
          <w:vertAlign w:val="subscript"/>
          <w:lang w:val="en-GB"/>
        </w:rPr>
        <w:t>b</w:t>
      </w:r>
      <w:r w:rsidR="001521AE" w:rsidRPr="00E967CF">
        <w:rPr>
          <w:bCs/>
          <w:lang w:val="en-GB"/>
        </w:rPr>
        <w:t xml:space="preserve"> segment, LPR (range: 14.8–28.5) consistently exceeded the </w:t>
      </w:r>
      <w:r w:rsidR="005979B7" w:rsidRPr="00E967CF">
        <w:rPr>
          <w:bCs/>
          <w:lang w:val="en-GB"/>
        </w:rPr>
        <w:t>gradient</w:t>
      </w:r>
      <w:r w:rsidR="001521AE" w:rsidRPr="00E967CF">
        <w:rPr>
          <w:bCs/>
          <w:lang w:val="en-GB"/>
        </w:rPr>
        <w:t xml:space="preserve">. Despite the underlying </w:t>
      </w:r>
      <w:r w:rsidR="005979B7" w:rsidRPr="00E967CF">
        <w:rPr>
          <w:bCs/>
          <w:lang w:val="en-GB"/>
        </w:rPr>
        <w:t>gradient</w:t>
      </w:r>
      <w:r w:rsidR="001521AE" w:rsidRPr="00E967CF">
        <w:rPr>
          <w:bCs/>
          <w:lang w:val="en-GB"/>
        </w:rPr>
        <w:t xml:space="preserve"> decreasing from 28.76 to 10.67 between segments, the observed LPR remained in a similar range due to the opposing effects of the intercept, illustrating how LPR can obscure true changes in anaerobic activity. </w:t>
      </w:r>
      <w:r w:rsidR="001521AE" w:rsidRPr="00E967CF">
        <w:rPr>
          <w:b/>
          <w:i/>
          <w:iCs/>
          <w:lang w:val="en-GB"/>
        </w:rPr>
        <w:t>b</w:t>
      </w:r>
      <w:r w:rsidR="001521AE" w:rsidRPr="00E967CF">
        <w:rPr>
          <w:bCs/>
          <w:lang w:val="en-GB"/>
        </w:rPr>
        <w:t xml:space="preserve">, linear intercept; </w:t>
      </w:r>
      <w:r w:rsidR="001521AE" w:rsidRPr="00E967CF">
        <w:rPr>
          <w:b/>
          <w:lang w:val="en-GB"/>
        </w:rPr>
        <w:t>LPR</w:t>
      </w:r>
      <w:r w:rsidR="001521AE" w:rsidRPr="00E967CF">
        <w:rPr>
          <w:bCs/>
          <w:lang w:val="en-GB"/>
        </w:rPr>
        <w:t xml:space="preserve">, lactate/pyruvate ratio; </w:t>
      </w:r>
      <w:r w:rsidR="001521AE" w:rsidRPr="00E967CF">
        <w:rPr>
          <w:b/>
          <w:i/>
          <w:iCs/>
          <w:lang w:val="en-GB"/>
        </w:rPr>
        <w:t>m</w:t>
      </w:r>
      <w:r w:rsidR="001521AE" w:rsidRPr="00E967CF">
        <w:rPr>
          <w:bCs/>
          <w:lang w:val="en-GB"/>
        </w:rPr>
        <w:t xml:space="preserve">, linear </w:t>
      </w:r>
      <w:r w:rsidR="005979B7" w:rsidRPr="00E967CF">
        <w:rPr>
          <w:bCs/>
          <w:lang w:val="en-GB"/>
        </w:rPr>
        <w:t>gradient</w:t>
      </w:r>
      <w:r w:rsidR="001521AE" w:rsidRPr="00E967CF">
        <w:rPr>
          <w:bCs/>
          <w:lang w:val="en-GB"/>
        </w:rPr>
        <w:t xml:space="preserve">; </w:t>
      </w:r>
      <w:r w:rsidR="001521AE" w:rsidRPr="00E967CF">
        <w:rPr>
          <w:b/>
          <w:lang w:val="en-GB"/>
        </w:rPr>
        <w:t>N</w:t>
      </w:r>
      <w:r w:rsidR="001521AE" w:rsidRPr="00E967CF">
        <w:rPr>
          <w:b/>
          <w:i/>
          <w:iCs/>
          <w:vertAlign w:val="subscript"/>
          <w:lang w:val="en-GB"/>
        </w:rPr>
        <w:t>b</w:t>
      </w:r>
      <w:r w:rsidR="001521AE" w:rsidRPr="00E967CF">
        <w:rPr>
          <w:bCs/>
          <w:lang w:val="en-GB"/>
        </w:rPr>
        <w:t>, negative intercept (</w:t>
      </w:r>
      <w:r w:rsidR="001521AE" w:rsidRPr="00E967CF">
        <w:rPr>
          <w:bCs/>
          <w:i/>
          <w:iCs/>
          <w:lang w:val="en-GB"/>
        </w:rPr>
        <w:t>b</w:t>
      </w:r>
      <w:r w:rsidR="001521AE" w:rsidRPr="00E967CF">
        <w:rPr>
          <w:bCs/>
          <w:lang w:val="en-GB"/>
        </w:rPr>
        <w:t xml:space="preserve"> &lt; 0); </w:t>
      </w:r>
      <w:r w:rsidR="001521AE" w:rsidRPr="00E967CF">
        <w:rPr>
          <w:b/>
          <w:lang w:val="en-GB"/>
        </w:rPr>
        <w:t>P</w:t>
      </w:r>
      <w:r w:rsidR="001521AE" w:rsidRPr="00E967CF">
        <w:rPr>
          <w:b/>
          <w:i/>
          <w:iCs/>
          <w:vertAlign w:val="subscript"/>
          <w:lang w:val="en-GB"/>
        </w:rPr>
        <w:t>b</w:t>
      </w:r>
      <w:r w:rsidR="001521AE" w:rsidRPr="00E967CF">
        <w:rPr>
          <w:bCs/>
          <w:lang w:val="en-GB"/>
        </w:rPr>
        <w:t>, positive intercept (</w:t>
      </w:r>
      <w:r w:rsidR="001521AE" w:rsidRPr="00E967CF">
        <w:rPr>
          <w:bCs/>
          <w:i/>
          <w:iCs/>
          <w:lang w:val="en-GB"/>
        </w:rPr>
        <w:t>b</w:t>
      </w:r>
      <w:r w:rsidR="001521AE" w:rsidRPr="00E967CF">
        <w:rPr>
          <w:bCs/>
          <w:lang w:val="en-GB"/>
        </w:rPr>
        <w:t xml:space="preserve"> &gt; 0); </w:t>
      </w:r>
      <w:r w:rsidR="001521AE" w:rsidRPr="00E967CF">
        <w:rPr>
          <w:b/>
          <w:i/>
          <w:iCs/>
          <w:lang w:val="en-GB"/>
        </w:rPr>
        <w:t>r</w:t>
      </w:r>
      <w:r w:rsidR="001521AE" w:rsidRPr="00E967CF">
        <w:rPr>
          <w:bCs/>
          <w:lang w:val="en-GB"/>
        </w:rPr>
        <w:t>, Pearson correlation coefficient.</w:t>
      </w:r>
    </w:p>
    <w:p w14:paraId="74F9BB2A" w14:textId="77777777" w:rsidR="00B8724B" w:rsidRPr="00E967CF" w:rsidRDefault="00B8724B" w:rsidP="00D77A64">
      <w:pPr>
        <w:spacing w:line="240" w:lineRule="auto"/>
        <w:rPr>
          <w:bCs/>
          <w:lang w:val="en-GB"/>
        </w:rPr>
      </w:pPr>
    </w:p>
    <w:p w14:paraId="5A686336" w14:textId="5879929C" w:rsidR="00D90BAC" w:rsidRPr="00E967CF" w:rsidRDefault="00AD581D" w:rsidP="00D90BAC">
      <w:pPr>
        <w:spacing w:line="240" w:lineRule="auto"/>
        <w:rPr>
          <w:bCs/>
          <w:lang w:val="en-GB"/>
        </w:rPr>
      </w:pPr>
      <w:bookmarkStart w:id="48" w:name="_Hlk222605772"/>
      <w:r w:rsidRPr="00E967CF">
        <w:rPr>
          <w:b/>
          <w:lang w:val="en-GB"/>
        </w:rPr>
        <w:t xml:space="preserve">Figure </w:t>
      </w:r>
      <w:r w:rsidR="00604ABB" w:rsidRPr="00E967CF">
        <w:rPr>
          <w:b/>
          <w:lang w:val="en-GB"/>
        </w:rPr>
        <w:t>5</w:t>
      </w:r>
      <w:r w:rsidRPr="00E967CF">
        <w:rPr>
          <w:b/>
          <w:lang w:val="en-GB"/>
        </w:rPr>
        <w:t xml:space="preserve">. </w:t>
      </w:r>
      <w:r w:rsidR="00C13837" w:rsidRPr="00E967CF">
        <w:rPr>
          <w:b/>
          <w:lang w:val="en-GB"/>
        </w:rPr>
        <w:t>Substrate delivery and LPR fidelity.</w:t>
      </w:r>
      <w:r w:rsidR="00FC368A" w:rsidRPr="00E967CF">
        <w:rPr>
          <w:bCs/>
          <w:lang w:val="en-GB"/>
        </w:rPr>
        <w:t xml:space="preserve"> </w:t>
      </w:r>
      <w:r w:rsidR="00C24872" w:rsidRPr="00E967CF">
        <w:rPr>
          <w:bCs/>
          <w:lang w:val="en-GB"/>
        </w:rPr>
        <w:t>(</w:t>
      </w:r>
      <w:r w:rsidR="00C24872" w:rsidRPr="00E967CF">
        <w:rPr>
          <w:b/>
          <w:lang w:val="en-GB"/>
        </w:rPr>
        <w:t>A</w:t>
      </w:r>
      <w:r w:rsidR="00C24872" w:rsidRPr="00E967CF">
        <w:rPr>
          <w:bCs/>
          <w:lang w:val="en-GB"/>
        </w:rPr>
        <w:t>) Within-segment LPR vs glucose for Type P</w:t>
      </w:r>
      <w:r w:rsidR="00C24872" w:rsidRPr="00E967CF">
        <w:rPr>
          <w:bCs/>
          <w:i/>
          <w:iCs/>
          <w:vertAlign w:val="subscript"/>
          <w:lang w:val="en-GB"/>
        </w:rPr>
        <w:t>b</w:t>
      </w:r>
      <w:r w:rsidR="00C24872" w:rsidRPr="00E967CF">
        <w:rPr>
          <w:bCs/>
          <w:lang w:val="en-GB"/>
        </w:rPr>
        <w:t xml:space="preserve"> segments (954 segments, 474 patients): LPR decreases with increasing glucose</w:t>
      </w:r>
      <w:r w:rsidR="00CA361C" w:rsidRPr="00E967CF">
        <w:rPr>
          <w:bCs/>
          <w:lang w:val="en-GB"/>
        </w:rPr>
        <w:t xml:space="preserve"> </w:t>
      </w:r>
      <w:r w:rsidR="001D5C03" w:rsidRPr="00E967CF">
        <w:rPr>
          <w:bCs/>
          <w:lang w:val="en-GB"/>
        </w:rPr>
        <w:t>(</w:t>
      </w:r>
      <w:r w:rsidR="00CA361C" w:rsidRPr="00E967CF">
        <w:rPr>
          <w:bCs/>
          <w:lang w:val="en-GB"/>
        </w:rPr>
        <w:t>β</w:t>
      </w:r>
      <w:r w:rsidR="004E4AD9" w:rsidRPr="00E967CF">
        <w:rPr>
          <w:bCs/>
          <w:vertAlign w:val="subscript"/>
          <w:lang w:val="en-GB"/>
        </w:rPr>
        <w:t>1/g</w:t>
      </w:r>
      <w:r w:rsidR="00CA361C" w:rsidRPr="00E967CF">
        <w:rPr>
          <w:bCs/>
          <w:vertAlign w:val="subscript"/>
          <w:lang w:val="en-GB"/>
        </w:rPr>
        <w:t>lucose</w:t>
      </w:r>
      <w:r w:rsidR="00CA361C" w:rsidRPr="00E967CF">
        <w:rPr>
          <w:bCs/>
          <w:lang w:val="en-GB"/>
        </w:rPr>
        <w:t xml:space="preserve"> = 1.21 mM, </w:t>
      </w:r>
      <w:r w:rsidR="00CA361C" w:rsidRPr="00E967CF">
        <w:rPr>
          <w:bCs/>
          <w:i/>
          <w:iCs/>
          <w:lang w:val="en-GB"/>
        </w:rPr>
        <w:t>p</w:t>
      </w:r>
      <w:r w:rsidR="00CA361C" w:rsidRPr="00E967CF">
        <w:rPr>
          <w:bCs/>
          <w:lang w:val="en-GB"/>
        </w:rPr>
        <w:t xml:space="preserve"> &lt; 0.001</w:t>
      </w:r>
      <w:r w:rsidR="001D5C03" w:rsidRPr="00E967CF">
        <w:rPr>
          <w:bCs/>
          <w:lang w:val="en-GB"/>
        </w:rPr>
        <w:t>)</w:t>
      </w:r>
      <w:r w:rsidR="00C24872" w:rsidRPr="00E967CF">
        <w:rPr>
          <w:bCs/>
          <w:lang w:val="en-GB"/>
        </w:rPr>
        <w:t>. (</w:t>
      </w:r>
      <w:r w:rsidR="00C24872" w:rsidRPr="00E967CF">
        <w:rPr>
          <w:b/>
          <w:lang w:val="en-GB"/>
        </w:rPr>
        <w:t>B</w:t>
      </w:r>
      <w:r w:rsidR="00C24872" w:rsidRPr="00E967CF">
        <w:rPr>
          <w:bCs/>
          <w:lang w:val="en-GB"/>
        </w:rPr>
        <w:t>) Within-segment LPR vs glucose for Type N</w:t>
      </w:r>
      <w:r w:rsidR="00C24872" w:rsidRPr="00E967CF">
        <w:rPr>
          <w:bCs/>
          <w:i/>
          <w:iCs/>
          <w:vertAlign w:val="subscript"/>
          <w:lang w:val="en-GB"/>
        </w:rPr>
        <w:t>b</w:t>
      </w:r>
      <w:r w:rsidR="00C24872" w:rsidRPr="00E967CF">
        <w:rPr>
          <w:bCs/>
          <w:lang w:val="en-GB"/>
        </w:rPr>
        <w:t xml:space="preserve"> segments (367 segments, 272 patients): LPR increases with increasing glucose</w:t>
      </w:r>
      <w:r w:rsidR="00B85B9F" w:rsidRPr="00E967CF">
        <w:rPr>
          <w:bCs/>
          <w:lang w:val="en-GB"/>
        </w:rPr>
        <w:t xml:space="preserve"> (β</w:t>
      </w:r>
      <w:r w:rsidR="00B85B9F" w:rsidRPr="00E967CF">
        <w:rPr>
          <w:bCs/>
          <w:vertAlign w:val="subscript"/>
          <w:lang w:val="en-GB"/>
        </w:rPr>
        <w:t>1/glucose</w:t>
      </w:r>
      <w:r w:rsidR="00B85B9F" w:rsidRPr="00E967CF">
        <w:rPr>
          <w:bCs/>
          <w:lang w:val="en-GB"/>
        </w:rPr>
        <w:t xml:space="preserve"> = </w:t>
      </w:r>
      <w:r w:rsidR="00271E62" w:rsidRPr="00E967CF">
        <w:rPr>
          <w:bCs/>
          <w:lang w:val="en-GB"/>
        </w:rPr>
        <w:t>-0.48</w:t>
      </w:r>
      <w:r w:rsidR="00B85B9F" w:rsidRPr="00E967CF">
        <w:rPr>
          <w:bCs/>
          <w:lang w:val="en-GB"/>
        </w:rPr>
        <w:t xml:space="preserve"> mM, </w:t>
      </w:r>
      <w:r w:rsidR="00B85B9F" w:rsidRPr="00E967CF">
        <w:rPr>
          <w:bCs/>
          <w:i/>
          <w:iCs/>
          <w:lang w:val="en-GB"/>
        </w:rPr>
        <w:t>p</w:t>
      </w:r>
      <w:r w:rsidR="00B85B9F" w:rsidRPr="00E967CF">
        <w:rPr>
          <w:bCs/>
          <w:lang w:val="en-GB"/>
        </w:rPr>
        <w:t xml:space="preserve"> &lt; 0.001)</w:t>
      </w:r>
      <w:r w:rsidR="00C24872" w:rsidRPr="00E967CF">
        <w:rPr>
          <w:bCs/>
          <w:lang w:val="en-GB"/>
        </w:rPr>
        <w:t xml:space="preserve">. </w:t>
      </w:r>
      <w:r w:rsidR="009A6D6B" w:rsidRPr="00E967CF">
        <w:rPr>
          <w:bCs/>
          <w:lang w:val="en-GB"/>
        </w:rPr>
        <w:t>(</w:t>
      </w:r>
      <w:r w:rsidR="009A6D6B" w:rsidRPr="00E967CF">
        <w:rPr>
          <w:b/>
          <w:lang w:val="en-GB"/>
        </w:rPr>
        <w:t>A</w:t>
      </w:r>
      <w:r w:rsidR="005653E0" w:rsidRPr="00E967CF">
        <w:rPr>
          <w:bCs/>
          <w:lang w:val="en-GB"/>
        </w:rPr>
        <w:t>–</w:t>
      </w:r>
      <w:r w:rsidR="009A6D6B" w:rsidRPr="00E967CF">
        <w:rPr>
          <w:b/>
          <w:lang w:val="en-GB"/>
        </w:rPr>
        <w:t>B</w:t>
      </w:r>
      <w:r w:rsidR="009A6D6B" w:rsidRPr="00E967CF">
        <w:rPr>
          <w:bCs/>
          <w:lang w:val="en-GB"/>
        </w:rPr>
        <w:t xml:space="preserve">) </w:t>
      </w:r>
      <w:r w:rsidR="00C24872" w:rsidRPr="00E967CF">
        <w:rPr>
          <w:bCs/>
          <w:lang w:val="en-GB"/>
        </w:rPr>
        <w:t xml:space="preserve">Within-segment models use 1/Glucose as predictor to capture the hyperbolic LPR–glucose relationship (LPR = </w:t>
      </w:r>
      <w:r w:rsidR="00C24872" w:rsidRPr="00E967CF">
        <w:rPr>
          <w:bCs/>
          <w:i/>
          <w:iCs/>
          <w:lang w:val="en-GB"/>
        </w:rPr>
        <w:t>m</w:t>
      </w:r>
      <w:r w:rsidR="00C24872" w:rsidRPr="00E967CF">
        <w:rPr>
          <w:bCs/>
          <w:lang w:val="en-GB"/>
        </w:rPr>
        <w:t xml:space="preserve"> + </w:t>
      </w:r>
      <w:r w:rsidR="00C24872" w:rsidRPr="00E967CF">
        <w:rPr>
          <w:bCs/>
          <w:i/>
          <w:iCs/>
          <w:lang w:val="en-GB"/>
        </w:rPr>
        <w:t>b</w:t>
      </w:r>
      <w:r w:rsidR="00C24872" w:rsidRPr="00E967CF">
        <w:rPr>
          <w:bCs/>
          <w:lang w:val="en-GB"/>
        </w:rPr>
        <w:t>/P); predictions are plotted on the glucose axis</w:t>
      </w:r>
      <w:r w:rsidR="00BC553D" w:rsidRPr="00E967CF">
        <w:rPr>
          <w:bCs/>
          <w:lang w:val="en-GB"/>
        </w:rPr>
        <w:t>; nested random intercepts (segment within patient);</w:t>
      </w:r>
      <w:r w:rsidR="00C24872" w:rsidRPr="00E967CF">
        <w:rPr>
          <w:bCs/>
          <w:lang w:val="en-GB"/>
        </w:rPr>
        <w:t xml:space="preserve"> </w:t>
      </w:r>
      <w:r w:rsidR="0091489C" w:rsidRPr="00E967CF">
        <w:rPr>
          <w:bCs/>
          <w:i/>
          <w:iCs/>
          <w:lang w:val="en-GB"/>
        </w:rPr>
        <w:t>p</w:t>
      </w:r>
      <w:r w:rsidR="00C24872" w:rsidRPr="00E967CF">
        <w:rPr>
          <w:bCs/>
          <w:lang w:val="en-GB"/>
        </w:rPr>
        <w:t>-values are Benjamini-Hochberg corrected (n = 2). (</w:t>
      </w:r>
      <w:r w:rsidR="00C24872" w:rsidRPr="00E967CF">
        <w:rPr>
          <w:b/>
          <w:lang w:val="en-GB"/>
        </w:rPr>
        <w:t>C</w:t>
      </w:r>
      <w:r w:rsidR="00C24872" w:rsidRPr="00E967CF">
        <w:rPr>
          <w:bCs/>
          <w:lang w:val="en-GB"/>
        </w:rPr>
        <w:t xml:space="preserve">) Segment-level median LPR vs </w:t>
      </w:r>
      <w:r w:rsidR="005979B7" w:rsidRPr="00E967CF">
        <w:rPr>
          <w:bCs/>
          <w:lang w:val="en-GB"/>
        </w:rPr>
        <w:t>gradient</w:t>
      </w:r>
      <w:r w:rsidR="00C24872" w:rsidRPr="00E967CF">
        <w:rPr>
          <w:bCs/>
          <w:lang w:val="en-GB"/>
        </w:rPr>
        <w:t xml:space="preserve"> </w:t>
      </w:r>
      <w:r w:rsidR="00C24872" w:rsidRPr="00E967CF">
        <w:rPr>
          <w:bCs/>
          <w:i/>
          <w:iCs/>
          <w:lang w:val="en-GB"/>
        </w:rPr>
        <w:t>m</w:t>
      </w:r>
      <w:r w:rsidR="00C24872" w:rsidRPr="00E967CF">
        <w:rPr>
          <w:bCs/>
          <w:lang w:val="en-GB"/>
        </w:rPr>
        <w:t xml:space="preserve"> (β = 0.255, </w:t>
      </w:r>
      <w:r w:rsidR="00C24872" w:rsidRPr="00E967CF">
        <w:rPr>
          <w:bCs/>
          <w:i/>
          <w:iCs/>
          <w:lang w:val="en-GB"/>
        </w:rPr>
        <w:t>p</w:t>
      </w:r>
      <w:r w:rsidR="00C24872" w:rsidRPr="00E967CF">
        <w:rPr>
          <w:bCs/>
          <w:lang w:val="en-GB"/>
        </w:rPr>
        <w:t xml:space="preserve"> &lt; 0.001); dashed black line indicates the theoretical β = 1 relationship expected if LPR perfectly tracked the </w:t>
      </w:r>
      <w:r w:rsidR="005979B7" w:rsidRPr="00E967CF">
        <w:rPr>
          <w:bCs/>
          <w:lang w:val="en-GB"/>
        </w:rPr>
        <w:t>gradient</w:t>
      </w:r>
      <w:r w:rsidR="00C24872" w:rsidRPr="00E967CF">
        <w:rPr>
          <w:bCs/>
          <w:lang w:val="en-GB"/>
        </w:rPr>
        <w:t>. (</w:t>
      </w:r>
      <w:r w:rsidR="00C24872" w:rsidRPr="00E967CF">
        <w:rPr>
          <w:b/>
          <w:lang w:val="en-GB"/>
        </w:rPr>
        <w:t>D</w:t>
      </w:r>
      <w:r w:rsidR="00C24872" w:rsidRPr="00E967CF">
        <w:rPr>
          <w:bCs/>
          <w:lang w:val="en-GB"/>
        </w:rPr>
        <w:t xml:space="preserve">) Segment-level </w:t>
      </w:r>
      <w:r w:rsidR="005979B7" w:rsidRPr="00E967CF">
        <w:rPr>
          <w:bCs/>
          <w:lang w:val="en-GB"/>
        </w:rPr>
        <w:t>gradient</w:t>
      </w:r>
      <w:r w:rsidR="00C24872" w:rsidRPr="00E967CF">
        <w:rPr>
          <w:bCs/>
          <w:lang w:val="en-GB"/>
        </w:rPr>
        <w:t xml:space="preserve"> (</w:t>
      </w:r>
      <w:r w:rsidR="00C24872" w:rsidRPr="00E967CF">
        <w:rPr>
          <w:bCs/>
          <w:i/>
          <w:iCs/>
          <w:lang w:val="en-GB"/>
        </w:rPr>
        <w:t>m</w:t>
      </w:r>
      <w:r w:rsidR="00C24872" w:rsidRPr="00E967CF">
        <w:rPr>
          <w:bCs/>
          <w:lang w:val="en-GB"/>
        </w:rPr>
        <w:t xml:space="preserve">, blue; β = -1.75 mM⁻¹, </w:t>
      </w:r>
      <w:r w:rsidR="00C24872" w:rsidRPr="00E967CF">
        <w:rPr>
          <w:bCs/>
          <w:i/>
          <w:iCs/>
          <w:lang w:val="en-GB"/>
        </w:rPr>
        <w:t>p</w:t>
      </w:r>
      <w:r w:rsidR="00C24872" w:rsidRPr="00E967CF">
        <w:rPr>
          <w:bCs/>
          <w:lang w:val="en-GB"/>
        </w:rPr>
        <w:t xml:space="preserve"> &lt; 0.001) and median LPR (orange; </w:t>
      </w:r>
      <w:bookmarkStart w:id="49" w:name="_Hlk222603183"/>
      <w:r w:rsidR="00C24872" w:rsidRPr="00E967CF">
        <w:rPr>
          <w:bCs/>
          <w:lang w:val="en-GB"/>
        </w:rPr>
        <w:t xml:space="preserve">β = </w:t>
      </w:r>
      <w:bookmarkEnd w:id="49"/>
      <w:r w:rsidR="00C24872" w:rsidRPr="00E967CF">
        <w:rPr>
          <w:bCs/>
          <w:lang w:val="en-GB"/>
        </w:rPr>
        <w:t xml:space="preserve">-2.41 mM⁻¹, </w:t>
      </w:r>
      <w:r w:rsidR="00C24872" w:rsidRPr="00E967CF">
        <w:rPr>
          <w:bCs/>
          <w:i/>
          <w:iCs/>
          <w:lang w:val="en-GB"/>
        </w:rPr>
        <w:t>p</w:t>
      </w:r>
      <w:r w:rsidR="00C24872" w:rsidRPr="00E967CF">
        <w:rPr>
          <w:bCs/>
          <w:lang w:val="en-GB"/>
        </w:rPr>
        <w:t xml:space="preserve"> &lt; 0.001) vs median glucose. </w:t>
      </w:r>
      <w:r w:rsidR="0083676E" w:rsidRPr="00E967CF">
        <w:rPr>
          <w:bCs/>
          <w:lang w:val="en-GB"/>
        </w:rPr>
        <w:t>(</w:t>
      </w:r>
      <w:r w:rsidR="00C24872" w:rsidRPr="00E967CF">
        <w:rPr>
          <w:b/>
          <w:lang w:val="en-GB"/>
        </w:rPr>
        <w:t>C</w:t>
      </w:r>
      <w:r w:rsidR="005653E0" w:rsidRPr="00E967CF">
        <w:rPr>
          <w:bCs/>
          <w:lang w:val="en-GB"/>
        </w:rPr>
        <w:t>–</w:t>
      </w:r>
      <w:r w:rsidR="00C24872" w:rsidRPr="00E967CF">
        <w:rPr>
          <w:b/>
          <w:lang w:val="en-GB"/>
        </w:rPr>
        <w:t>D</w:t>
      </w:r>
      <w:r w:rsidR="0083676E" w:rsidRPr="00E967CF">
        <w:rPr>
          <w:bCs/>
          <w:lang w:val="en-GB"/>
        </w:rPr>
        <w:t>)</w:t>
      </w:r>
      <w:r w:rsidR="00C24872" w:rsidRPr="00E967CF">
        <w:rPr>
          <w:bCs/>
          <w:lang w:val="en-GB"/>
        </w:rPr>
        <w:t xml:space="preserve"> </w:t>
      </w:r>
      <w:r w:rsidR="00F15086" w:rsidRPr="00E967CF">
        <w:rPr>
          <w:bCs/>
          <w:lang w:val="en-GB"/>
        </w:rPr>
        <w:t>P</w:t>
      </w:r>
      <w:r w:rsidR="00C24872" w:rsidRPr="00E967CF">
        <w:rPr>
          <w:bCs/>
          <w:lang w:val="en-GB"/>
        </w:rPr>
        <w:t xml:space="preserve">atient random intercepts, weighted by segment size. </w:t>
      </w:r>
      <w:r w:rsidR="00241DD3" w:rsidRPr="00E967CF">
        <w:rPr>
          <w:bCs/>
          <w:lang w:val="en-GB"/>
        </w:rPr>
        <w:t>(</w:t>
      </w:r>
      <w:r w:rsidR="00241DD3" w:rsidRPr="00E967CF">
        <w:rPr>
          <w:b/>
          <w:lang w:val="en-GB"/>
        </w:rPr>
        <w:t>A</w:t>
      </w:r>
      <w:r w:rsidR="00241DD3" w:rsidRPr="00E967CF">
        <w:rPr>
          <w:bCs/>
          <w:lang w:val="en-GB"/>
        </w:rPr>
        <w:t>–</w:t>
      </w:r>
      <w:r w:rsidR="00241DD3" w:rsidRPr="00E967CF">
        <w:rPr>
          <w:b/>
          <w:lang w:val="en-GB"/>
        </w:rPr>
        <w:t>D</w:t>
      </w:r>
      <w:r w:rsidR="00241DD3" w:rsidRPr="00E967CF">
        <w:rPr>
          <w:bCs/>
          <w:lang w:val="en-GB"/>
        </w:rPr>
        <w:t xml:space="preserve">) </w:t>
      </w:r>
      <w:r w:rsidR="006E69C0" w:rsidRPr="00E967CF">
        <w:rPr>
          <w:bCs/>
          <w:lang w:val="en-GB"/>
        </w:rPr>
        <w:t>Cambridge cohort; l</w:t>
      </w:r>
      <w:r w:rsidR="00891009" w:rsidRPr="00E967CF">
        <w:rPr>
          <w:bCs/>
          <w:lang w:val="en-GB"/>
        </w:rPr>
        <w:t>ines represent LME fixed effects; shaded regions represent 95% C</w:t>
      </w:r>
      <w:r w:rsidR="007B68A0" w:rsidRPr="00E967CF">
        <w:rPr>
          <w:bCs/>
          <w:lang w:val="en-GB"/>
        </w:rPr>
        <w:t>I</w:t>
      </w:r>
      <w:r w:rsidR="00891009" w:rsidRPr="00E967CF">
        <w:rPr>
          <w:bCs/>
          <w:lang w:val="en-GB"/>
        </w:rPr>
        <w:t>s</w:t>
      </w:r>
      <w:r w:rsidR="006D48F4" w:rsidRPr="00E967CF">
        <w:rPr>
          <w:bCs/>
          <w:lang w:val="en-GB"/>
        </w:rPr>
        <w:t>; s</w:t>
      </w:r>
      <w:r w:rsidR="00C24872" w:rsidRPr="00E967CF">
        <w:rPr>
          <w:bCs/>
          <w:lang w:val="en-GB"/>
        </w:rPr>
        <w:t>ample: 1,321 segments, 504 patients.</w:t>
      </w:r>
      <w:r w:rsidR="00B033DF" w:rsidRPr="00E967CF">
        <w:rPr>
          <w:bCs/>
          <w:lang w:val="en-GB"/>
        </w:rPr>
        <w:t xml:space="preserve"> (</w:t>
      </w:r>
      <w:r w:rsidR="00B033DF" w:rsidRPr="00E967CF">
        <w:rPr>
          <w:b/>
          <w:lang w:val="en-GB"/>
        </w:rPr>
        <w:t>E</w:t>
      </w:r>
      <w:r w:rsidR="007001A3" w:rsidRPr="00E967CF">
        <w:rPr>
          <w:bCs/>
          <w:lang w:val="en-GB"/>
        </w:rPr>
        <w:t>–</w:t>
      </w:r>
      <w:r w:rsidR="00B033DF" w:rsidRPr="00E967CF">
        <w:rPr>
          <w:b/>
          <w:lang w:val="en-GB"/>
        </w:rPr>
        <w:t>H</w:t>
      </w:r>
      <w:r w:rsidR="00B033DF" w:rsidRPr="00E967CF">
        <w:rPr>
          <w:bCs/>
          <w:lang w:val="en-GB"/>
        </w:rPr>
        <w:t>)</w:t>
      </w:r>
      <w:r w:rsidR="00F71952" w:rsidRPr="00E967CF">
        <w:rPr>
          <w:bCs/>
          <w:lang w:val="en-GB"/>
        </w:rPr>
        <w:t xml:space="preserve"> </w:t>
      </w:r>
      <w:r w:rsidR="00723721" w:rsidRPr="00E967CF">
        <w:rPr>
          <w:bCs/>
          <w:lang w:val="en-GB"/>
        </w:rPr>
        <w:t>C</w:t>
      </w:r>
      <w:r w:rsidR="00B033DF" w:rsidRPr="00E967CF">
        <w:rPr>
          <w:bCs/>
          <w:lang w:val="en-GB"/>
        </w:rPr>
        <w:t>orresponding analyses for the external validation cohort (Uppsala; 215 segments, 81 patients). (</w:t>
      </w:r>
      <w:r w:rsidR="00B033DF" w:rsidRPr="00E967CF">
        <w:rPr>
          <w:b/>
          <w:lang w:val="en-GB"/>
        </w:rPr>
        <w:t>E</w:t>
      </w:r>
      <w:r w:rsidR="00B033DF" w:rsidRPr="00E967CF">
        <w:rPr>
          <w:bCs/>
          <w:lang w:val="en-GB"/>
        </w:rPr>
        <w:t>) Type P</w:t>
      </w:r>
      <w:r w:rsidR="00B033DF" w:rsidRPr="00E967CF">
        <w:rPr>
          <w:bCs/>
          <w:i/>
          <w:iCs/>
          <w:vertAlign w:val="subscript"/>
          <w:lang w:val="en-GB"/>
        </w:rPr>
        <w:t>b</w:t>
      </w:r>
      <w:r w:rsidR="00B033DF" w:rsidRPr="00E967CF">
        <w:rPr>
          <w:bCs/>
          <w:lang w:val="en-GB"/>
        </w:rPr>
        <w:t xml:space="preserve"> (132 segments, 72 patients; </w:t>
      </w:r>
      <w:r w:rsidR="009A2B17" w:rsidRPr="00E967CF">
        <w:rPr>
          <w:bCs/>
          <w:lang w:val="en-GB"/>
        </w:rPr>
        <w:t>β</w:t>
      </w:r>
      <w:r w:rsidR="009A2B17" w:rsidRPr="00E967CF">
        <w:rPr>
          <w:bCs/>
          <w:vertAlign w:val="subscript"/>
          <w:lang w:val="en-GB"/>
        </w:rPr>
        <w:t>1/glucose</w:t>
      </w:r>
      <w:r w:rsidR="009A2B17" w:rsidRPr="00E967CF">
        <w:rPr>
          <w:bCs/>
          <w:lang w:val="en-GB"/>
        </w:rPr>
        <w:t xml:space="preserve"> = 1.</w:t>
      </w:r>
      <w:r w:rsidR="0030098D" w:rsidRPr="00E967CF">
        <w:rPr>
          <w:bCs/>
          <w:lang w:val="en-GB"/>
        </w:rPr>
        <w:t>72</w:t>
      </w:r>
      <w:r w:rsidR="009A2B17" w:rsidRPr="00E967CF">
        <w:rPr>
          <w:bCs/>
          <w:lang w:val="en-GB"/>
        </w:rPr>
        <w:t xml:space="preserve"> mM,</w:t>
      </w:r>
      <w:r w:rsidR="009A2B17" w:rsidRPr="00E967CF">
        <w:rPr>
          <w:bCs/>
          <w:i/>
          <w:iCs/>
          <w:lang w:val="en-GB"/>
        </w:rPr>
        <w:t xml:space="preserve"> </w:t>
      </w:r>
      <w:r w:rsidR="00B033DF" w:rsidRPr="00E967CF">
        <w:rPr>
          <w:bCs/>
          <w:i/>
          <w:iCs/>
          <w:lang w:val="en-GB"/>
        </w:rPr>
        <w:t>p</w:t>
      </w:r>
      <w:r w:rsidR="00B033DF" w:rsidRPr="00E967CF">
        <w:rPr>
          <w:bCs/>
          <w:lang w:val="en-GB"/>
        </w:rPr>
        <w:t xml:space="preserve"> &lt; 0.001). (</w:t>
      </w:r>
      <w:r w:rsidR="00B033DF" w:rsidRPr="00E967CF">
        <w:rPr>
          <w:b/>
          <w:lang w:val="en-GB"/>
        </w:rPr>
        <w:t>F</w:t>
      </w:r>
      <w:r w:rsidR="00B033DF" w:rsidRPr="00E967CF">
        <w:rPr>
          <w:bCs/>
          <w:lang w:val="en-GB"/>
        </w:rPr>
        <w:t>) Type N</w:t>
      </w:r>
      <w:r w:rsidR="00B033DF" w:rsidRPr="00E967CF">
        <w:rPr>
          <w:bCs/>
          <w:i/>
          <w:iCs/>
          <w:vertAlign w:val="subscript"/>
          <w:lang w:val="en-GB"/>
        </w:rPr>
        <w:t>b</w:t>
      </w:r>
      <w:r w:rsidR="00B033DF" w:rsidRPr="00E967CF">
        <w:rPr>
          <w:bCs/>
          <w:lang w:val="en-GB"/>
        </w:rPr>
        <w:t xml:space="preserve"> (83 segments, 61 patients;</w:t>
      </w:r>
      <w:r w:rsidR="00BA131F" w:rsidRPr="00E967CF">
        <w:rPr>
          <w:bCs/>
          <w:lang w:val="en-GB"/>
        </w:rPr>
        <w:t xml:space="preserve"> β</w:t>
      </w:r>
      <w:r w:rsidR="00BA131F" w:rsidRPr="00E967CF">
        <w:rPr>
          <w:bCs/>
          <w:vertAlign w:val="subscript"/>
          <w:lang w:val="en-GB"/>
        </w:rPr>
        <w:t>1/glucose</w:t>
      </w:r>
      <w:r w:rsidR="00BA131F" w:rsidRPr="00E967CF">
        <w:rPr>
          <w:bCs/>
          <w:lang w:val="en-GB"/>
        </w:rPr>
        <w:t xml:space="preserve"> = </w:t>
      </w:r>
      <w:r w:rsidR="002E3A74" w:rsidRPr="00E967CF">
        <w:rPr>
          <w:bCs/>
          <w:lang w:val="en-GB"/>
        </w:rPr>
        <w:t>-0</w:t>
      </w:r>
      <w:r w:rsidR="00BA131F" w:rsidRPr="00E967CF">
        <w:rPr>
          <w:bCs/>
          <w:lang w:val="en-GB"/>
        </w:rPr>
        <w:t>.</w:t>
      </w:r>
      <w:r w:rsidR="002E3A74" w:rsidRPr="00E967CF">
        <w:rPr>
          <w:bCs/>
          <w:lang w:val="en-GB"/>
        </w:rPr>
        <w:t>11</w:t>
      </w:r>
      <w:r w:rsidR="00BA131F" w:rsidRPr="00E967CF">
        <w:rPr>
          <w:bCs/>
          <w:lang w:val="en-GB"/>
        </w:rPr>
        <w:t xml:space="preserve"> mM,</w:t>
      </w:r>
      <w:r w:rsidR="00B033DF" w:rsidRPr="00E967CF">
        <w:rPr>
          <w:bCs/>
          <w:lang w:val="en-GB"/>
        </w:rPr>
        <w:t xml:space="preserve"> </w:t>
      </w:r>
      <w:r w:rsidR="00B033DF" w:rsidRPr="00E967CF">
        <w:rPr>
          <w:bCs/>
          <w:i/>
          <w:iCs/>
          <w:lang w:val="en-GB"/>
        </w:rPr>
        <w:t>p</w:t>
      </w:r>
      <w:r w:rsidR="00B033DF" w:rsidRPr="00E967CF">
        <w:rPr>
          <w:bCs/>
          <w:lang w:val="en-GB"/>
        </w:rPr>
        <w:t xml:space="preserve"> = 0.090). (</w:t>
      </w:r>
      <w:r w:rsidR="00B033DF" w:rsidRPr="00E967CF">
        <w:rPr>
          <w:b/>
          <w:lang w:val="en-GB"/>
        </w:rPr>
        <w:t>G</w:t>
      </w:r>
      <w:r w:rsidR="00B033DF" w:rsidRPr="00E967CF">
        <w:rPr>
          <w:bCs/>
          <w:lang w:val="en-GB"/>
        </w:rPr>
        <w:t xml:space="preserve">) Median LPR vs </w:t>
      </w:r>
      <w:r w:rsidR="00B033DF" w:rsidRPr="00E967CF">
        <w:rPr>
          <w:bCs/>
          <w:i/>
          <w:iCs/>
          <w:lang w:val="en-GB"/>
        </w:rPr>
        <w:t>m</w:t>
      </w:r>
      <w:r w:rsidR="00B033DF" w:rsidRPr="00E967CF">
        <w:rPr>
          <w:bCs/>
          <w:lang w:val="en-GB"/>
        </w:rPr>
        <w:t xml:space="preserve"> (β = 0.140, </w:t>
      </w:r>
      <w:r w:rsidR="00B033DF" w:rsidRPr="00E967CF">
        <w:rPr>
          <w:bCs/>
          <w:i/>
          <w:iCs/>
          <w:lang w:val="en-GB"/>
        </w:rPr>
        <w:t>p</w:t>
      </w:r>
      <w:r w:rsidR="00B033DF" w:rsidRPr="00E967CF">
        <w:rPr>
          <w:bCs/>
          <w:lang w:val="en-GB"/>
        </w:rPr>
        <w:t xml:space="preserve"> = 0.005). (</w:t>
      </w:r>
      <w:r w:rsidR="00B033DF" w:rsidRPr="00E967CF">
        <w:rPr>
          <w:b/>
          <w:lang w:val="en-GB"/>
        </w:rPr>
        <w:t>H</w:t>
      </w:r>
      <w:r w:rsidR="00B033DF" w:rsidRPr="00E967CF">
        <w:rPr>
          <w:bCs/>
          <w:lang w:val="en-GB"/>
        </w:rPr>
        <w:t xml:space="preserve">) </w:t>
      </w:r>
      <w:r w:rsidR="00B033DF" w:rsidRPr="00E967CF">
        <w:rPr>
          <w:bCs/>
          <w:i/>
          <w:iCs/>
          <w:lang w:val="en-GB"/>
        </w:rPr>
        <w:t>m</w:t>
      </w:r>
      <w:r w:rsidR="00B033DF" w:rsidRPr="00E967CF">
        <w:rPr>
          <w:bCs/>
          <w:lang w:val="en-GB"/>
        </w:rPr>
        <w:t xml:space="preserve"> vs glucose (β = -1.20 mM⁻¹, </w:t>
      </w:r>
      <w:r w:rsidR="00B033DF" w:rsidRPr="00E967CF">
        <w:rPr>
          <w:bCs/>
          <w:i/>
          <w:iCs/>
          <w:lang w:val="en-GB"/>
        </w:rPr>
        <w:t>p</w:t>
      </w:r>
      <w:r w:rsidR="00B033DF" w:rsidRPr="00E967CF">
        <w:rPr>
          <w:bCs/>
          <w:lang w:val="en-GB"/>
        </w:rPr>
        <w:t xml:space="preserve"> = 0.022) and median LPR vs glucose (β = -3.95 mM⁻¹, </w:t>
      </w:r>
      <w:r w:rsidR="00B033DF" w:rsidRPr="00E967CF">
        <w:rPr>
          <w:bCs/>
          <w:i/>
          <w:iCs/>
          <w:lang w:val="en-GB"/>
        </w:rPr>
        <w:t>p</w:t>
      </w:r>
      <w:r w:rsidR="00B033DF" w:rsidRPr="00E967CF">
        <w:rPr>
          <w:bCs/>
          <w:lang w:val="en-GB"/>
        </w:rPr>
        <w:t xml:space="preserve"> &lt; 0.001).</w:t>
      </w:r>
      <w:r w:rsidR="00C24872" w:rsidRPr="00E967CF">
        <w:rPr>
          <w:bCs/>
          <w:lang w:val="en-GB"/>
        </w:rPr>
        <w:t xml:space="preserve"> </w:t>
      </w:r>
      <w:r w:rsidR="00C24872" w:rsidRPr="00E967CF">
        <w:rPr>
          <w:b/>
          <w:i/>
          <w:iCs/>
          <w:lang w:val="en-GB"/>
        </w:rPr>
        <w:t>b</w:t>
      </w:r>
      <w:r w:rsidR="00C24872" w:rsidRPr="00E967CF">
        <w:rPr>
          <w:bCs/>
          <w:lang w:val="en-GB"/>
        </w:rPr>
        <w:t xml:space="preserve">, linear intercept; </w:t>
      </w:r>
      <w:r w:rsidR="00C24872" w:rsidRPr="00E967CF">
        <w:rPr>
          <w:b/>
          <w:lang w:val="en-GB"/>
        </w:rPr>
        <w:t>CI</w:t>
      </w:r>
      <w:r w:rsidR="00C24872" w:rsidRPr="00E967CF">
        <w:rPr>
          <w:bCs/>
          <w:lang w:val="en-GB"/>
        </w:rPr>
        <w:t xml:space="preserve">, confidence interval; </w:t>
      </w:r>
      <w:r w:rsidR="00C24872" w:rsidRPr="00E967CF">
        <w:rPr>
          <w:b/>
          <w:lang w:val="en-GB"/>
        </w:rPr>
        <w:t>LME</w:t>
      </w:r>
      <w:r w:rsidR="00C24872" w:rsidRPr="00E967CF">
        <w:rPr>
          <w:bCs/>
          <w:lang w:val="en-GB"/>
        </w:rPr>
        <w:t xml:space="preserve">, linear mixed-effects model; </w:t>
      </w:r>
      <w:r w:rsidR="00C24872" w:rsidRPr="00E967CF">
        <w:rPr>
          <w:b/>
          <w:lang w:val="en-GB"/>
        </w:rPr>
        <w:t>LPR</w:t>
      </w:r>
      <w:r w:rsidR="00C24872" w:rsidRPr="00E967CF">
        <w:rPr>
          <w:bCs/>
          <w:lang w:val="en-GB"/>
        </w:rPr>
        <w:t xml:space="preserve">, lactate/pyruvate ratio; </w:t>
      </w:r>
      <w:r w:rsidR="00C24872" w:rsidRPr="00E967CF">
        <w:rPr>
          <w:b/>
          <w:i/>
          <w:iCs/>
          <w:lang w:val="en-GB"/>
        </w:rPr>
        <w:t>m</w:t>
      </w:r>
      <w:r w:rsidR="00C24872" w:rsidRPr="00E967CF">
        <w:rPr>
          <w:bCs/>
          <w:lang w:val="en-GB"/>
        </w:rPr>
        <w:t xml:space="preserve">, linear </w:t>
      </w:r>
      <w:r w:rsidR="005979B7" w:rsidRPr="00E967CF">
        <w:rPr>
          <w:bCs/>
          <w:lang w:val="en-GB"/>
        </w:rPr>
        <w:t>gradient</w:t>
      </w:r>
      <w:r w:rsidR="00C24872" w:rsidRPr="00E967CF">
        <w:rPr>
          <w:bCs/>
          <w:lang w:val="en-GB"/>
        </w:rPr>
        <w:t xml:space="preserve">; </w:t>
      </w:r>
      <w:r w:rsidR="00C24872" w:rsidRPr="00E967CF">
        <w:rPr>
          <w:b/>
          <w:lang w:val="en-GB"/>
        </w:rPr>
        <w:t>N</w:t>
      </w:r>
      <w:r w:rsidR="00C24872" w:rsidRPr="00E967CF">
        <w:rPr>
          <w:b/>
          <w:i/>
          <w:iCs/>
          <w:vertAlign w:val="subscript"/>
          <w:lang w:val="en-GB"/>
        </w:rPr>
        <w:t>b</w:t>
      </w:r>
      <w:r w:rsidR="00C24872" w:rsidRPr="00E967CF">
        <w:rPr>
          <w:bCs/>
          <w:lang w:val="en-GB"/>
        </w:rPr>
        <w:t>, negative intercept (</w:t>
      </w:r>
      <w:r w:rsidR="00C24872" w:rsidRPr="00E967CF">
        <w:rPr>
          <w:b/>
          <w:i/>
          <w:iCs/>
          <w:lang w:val="en-GB"/>
        </w:rPr>
        <w:t>b</w:t>
      </w:r>
      <w:r w:rsidR="00C24872" w:rsidRPr="00E967CF">
        <w:rPr>
          <w:bCs/>
          <w:lang w:val="en-GB"/>
        </w:rPr>
        <w:t xml:space="preserve"> &lt; 0); </w:t>
      </w:r>
      <w:r w:rsidR="00C24872" w:rsidRPr="00E967CF">
        <w:rPr>
          <w:b/>
          <w:lang w:val="en-GB"/>
        </w:rPr>
        <w:t>P</w:t>
      </w:r>
      <w:r w:rsidR="00C24872" w:rsidRPr="00E967CF">
        <w:rPr>
          <w:b/>
          <w:i/>
          <w:iCs/>
          <w:vertAlign w:val="subscript"/>
          <w:lang w:val="en-GB"/>
        </w:rPr>
        <w:t>b</w:t>
      </w:r>
      <w:r w:rsidR="00C24872" w:rsidRPr="00E967CF">
        <w:rPr>
          <w:bCs/>
          <w:lang w:val="en-GB"/>
        </w:rPr>
        <w:t>, positive intercept (</w:t>
      </w:r>
      <w:r w:rsidR="00C24872" w:rsidRPr="00E967CF">
        <w:rPr>
          <w:b/>
          <w:i/>
          <w:iCs/>
          <w:lang w:val="en-GB"/>
        </w:rPr>
        <w:t>b</w:t>
      </w:r>
      <w:r w:rsidR="00C24872" w:rsidRPr="00E967CF">
        <w:rPr>
          <w:bCs/>
          <w:lang w:val="en-GB"/>
        </w:rPr>
        <w:t xml:space="preserve"> &gt; 0).</w:t>
      </w:r>
      <w:bookmarkStart w:id="50" w:name="_Hlk222675466"/>
      <w:bookmarkEnd w:id="48"/>
    </w:p>
    <w:p w14:paraId="4BABBB26" w14:textId="77777777" w:rsidR="00D90BAC" w:rsidRPr="00E967CF" w:rsidRDefault="00D90BAC">
      <w:pPr>
        <w:spacing w:before="0" w:line="240" w:lineRule="auto"/>
        <w:jc w:val="left"/>
        <w:rPr>
          <w:bCs/>
          <w:lang w:val="en-GB"/>
        </w:rPr>
      </w:pPr>
      <w:r w:rsidRPr="00E967CF">
        <w:rPr>
          <w:bCs/>
          <w:lang w:val="en-GB"/>
        </w:rPr>
        <w:br w:type="page"/>
      </w:r>
    </w:p>
    <w:p w14:paraId="4A0DAE52" w14:textId="7B14F7A1" w:rsidR="00A01D4D" w:rsidRPr="00E967CF" w:rsidRDefault="005F06C1" w:rsidP="00313872">
      <w:pPr>
        <w:spacing w:line="240" w:lineRule="auto"/>
        <w:rPr>
          <w:bCs/>
          <w:lang w:val="en-GB"/>
        </w:rPr>
      </w:pPr>
      <w:r w:rsidRPr="00E967CF">
        <w:rPr>
          <w:b/>
          <w:lang w:val="en-GB"/>
        </w:rPr>
        <w:lastRenderedPageBreak/>
        <w:t xml:space="preserve">Figure </w:t>
      </w:r>
      <w:r w:rsidR="00604ABB" w:rsidRPr="00E967CF">
        <w:rPr>
          <w:b/>
          <w:lang w:val="en-GB"/>
        </w:rPr>
        <w:t>6</w:t>
      </w:r>
      <w:r w:rsidRPr="00E967CF">
        <w:rPr>
          <w:b/>
          <w:lang w:val="en-GB"/>
        </w:rPr>
        <w:t xml:space="preserve">. </w:t>
      </w:r>
      <w:r w:rsidR="0088031B" w:rsidRPr="00E967CF">
        <w:rPr>
          <w:b/>
          <w:lang w:val="en-GB"/>
        </w:rPr>
        <w:t xml:space="preserve">Estimated marginal means of </w:t>
      </w:r>
      <w:r w:rsidR="004950F8" w:rsidRPr="00E967CF">
        <w:rPr>
          <w:b/>
          <w:lang w:val="en-GB"/>
        </w:rPr>
        <w:t>linear</w:t>
      </w:r>
      <w:r w:rsidR="0088031B" w:rsidRPr="00E967CF">
        <w:rPr>
          <w:b/>
          <w:lang w:val="en-GB"/>
        </w:rPr>
        <w:t xml:space="preserve"> lactate–pyruvate parameters by 6-month functional outcome.</w:t>
      </w:r>
      <w:r w:rsidRPr="00E967CF">
        <w:rPr>
          <w:bCs/>
          <w:lang w:val="en-GB"/>
        </w:rPr>
        <w:t xml:space="preserve"> </w:t>
      </w:r>
      <w:r w:rsidR="0088031B" w:rsidRPr="00E967CF">
        <w:rPr>
          <w:bCs/>
          <w:lang w:val="en-GB"/>
        </w:rPr>
        <w:t>(</w:t>
      </w:r>
      <w:r w:rsidR="0088031B" w:rsidRPr="00E967CF">
        <w:rPr>
          <w:b/>
          <w:lang w:val="en-GB"/>
        </w:rPr>
        <w:t>A</w:t>
      </w:r>
      <w:r w:rsidR="0088031B" w:rsidRPr="00E967CF">
        <w:rPr>
          <w:bCs/>
          <w:lang w:val="en-GB"/>
        </w:rPr>
        <w:t>) Segment median LPR, (</w:t>
      </w:r>
      <w:r w:rsidR="0088031B" w:rsidRPr="00E967CF">
        <w:rPr>
          <w:b/>
          <w:lang w:val="en-GB"/>
        </w:rPr>
        <w:t>B</w:t>
      </w:r>
      <w:r w:rsidR="0088031B" w:rsidRPr="00E967CF">
        <w:rPr>
          <w:bCs/>
          <w:lang w:val="en-GB"/>
        </w:rPr>
        <w:t xml:space="preserve">) segment </w:t>
      </w:r>
      <w:r w:rsidR="005979B7" w:rsidRPr="00E967CF">
        <w:rPr>
          <w:bCs/>
          <w:lang w:val="en-GB"/>
        </w:rPr>
        <w:t>gradient</w:t>
      </w:r>
      <w:r w:rsidR="0088031B" w:rsidRPr="00E967CF">
        <w:rPr>
          <w:bCs/>
          <w:lang w:val="en-GB"/>
        </w:rPr>
        <w:t xml:space="preserve"> (</w:t>
      </w:r>
      <w:r w:rsidR="0088031B" w:rsidRPr="00E967CF">
        <w:rPr>
          <w:bCs/>
          <w:i/>
          <w:iCs/>
          <w:lang w:val="en-GB"/>
        </w:rPr>
        <w:t>m</w:t>
      </w:r>
      <w:r w:rsidR="0088031B" w:rsidRPr="00E967CF">
        <w:rPr>
          <w:bCs/>
          <w:lang w:val="en-GB"/>
        </w:rPr>
        <w:t>), and (</w:t>
      </w:r>
      <w:r w:rsidR="0088031B" w:rsidRPr="00E967CF">
        <w:rPr>
          <w:b/>
          <w:lang w:val="en-GB"/>
        </w:rPr>
        <w:t>C</w:t>
      </w:r>
      <w:r w:rsidR="0088031B" w:rsidRPr="00E967CF">
        <w:rPr>
          <w:bCs/>
          <w:lang w:val="en-GB"/>
        </w:rPr>
        <w:t>) segment intercept (</w:t>
      </w:r>
      <w:r w:rsidR="0088031B" w:rsidRPr="00E967CF">
        <w:rPr>
          <w:bCs/>
          <w:i/>
          <w:iCs/>
          <w:lang w:val="en-GB"/>
        </w:rPr>
        <w:t>b</w:t>
      </w:r>
      <w:r w:rsidR="0088031B" w:rsidRPr="00E967CF">
        <w:rPr>
          <w:bCs/>
          <w:lang w:val="en-GB"/>
        </w:rPr>
        <w:t>) across four GOSE categories: Death (</w:t>
      </w:r>
      <w:r w:rsidR="00587C89" w:rsidRPr="00E967CF">
        <w:rPr>
          <w:bCs/>
          <w:lang w:val="en-GB"/>
        </w:rPr>
        <w:t xml:space="preserve">GOSE 1; </w:t>
      </w:r>
      <w:r w:rsidR="0088031B" w:rsidRPr="00E967CF">
        <w:rPr>
          <w:bCs/>
          <w:lang w:val="en-GB"/>
        </w:rPr>
        <w:t>87 patients, 217 segments), Severe disability (</w:t>
      </w:r>
      <w:r w:rsidR="00587C89" w:rsidRPr="00E967CF">
        <w:rPr>
          <w:bCs/>
          <w:lang w:val="en-GB"/>
        </w:rPr>
        <w:t>GOSE 2</w:t>
      </w:r>
      <w:r w:rsidR="002C38EE" w:rsidRPr="00E967CF">
        <w:rPr>
          <w:bCs/>
          <w:lang w:val="en-GB"/>
        </w:rPr>
        <w:t>–</w:t>
      </w:r>
      <w:r w:rsidR="00587C89" w:rsidRPr="00E967CF">
        <w:rPr>
          <w:bCs/>
          <w:lang w:val="en-GB"/>
        </w:rPr>
        <w:t xml:space="preserve">4; </w:t>
      </w:r>
      <w:r w:rsidR="0088031B" w:rsidRPr="00E967CF">
        <w:rPr>
          <w:bCs/>
          <w:lang w:val="en-GB"/>
        </w:rPr>
        <w:t>117</w:t>
      </w:r>
      <w:r w:rsidR="00DE0DFD" w:rsidRPr="00E967CF">
        <w:rPr>
          <w:bCs/>
          <w:lang w:val="en-GB"/>
        </w:rPr>
        <w:t xml:space="preserve"> patients</w:t>
      </w:r>
      <w:r w:rsidR="0088031B" w:rsidRPr="00E967CF">
        <w:rPr>
          <w:bCs/>
          <w:lang w:val="en-GB"/>
        </w:rPr>
        <w:t>, 310 segments), Moderate disability (</w:t>
      </w:r>
      <w:r w:rsidR="00A53BD2" w:rsidRPr="00E967CF">
        <w:rPr>
          <w:bCs/>
          <w:lang w:val="en-GB"/>
        </w:rPr>
        <w:t>GOSE 5–6;</w:t>
      </w:r>
      <w:r w:rsidR="00DE0DFD" w:rsidRPr="00E967CF">
        <w:rPr>
          <w:bCs/>
          <w:lang w:val="en-GB"/>
        </w:rPr>
        <w:t xml:space="preserve"> </w:t>
      </w:r>
      <w:r w:rsidR="0088031B" w:rsidRPr="00E967CF">
        <w:rPr>
          <w:bCs/>
          <w:lang w:val="en-GB"/>
        </w:rPr>
        <w:t>160</w:t>
      </w:r>
      <w:r w:rsidR="00DE0DFD" w:rsidRPr="00E967CF">
        <w:rPr>
          <w:bCs/>
          <w:lang w:val="en-GB"/>
        </w:rPr>
        <w:t xml:space="preserve"> patients</w:t>
      </w:r>
      <w:r w:rsidR="0088031B" w:rsidRPr="00E967CF">
        <w:rPr>
          <w:bCs/>
          <w:lang w:val="en-GB"/>
        </w:rPr>
        <w:t>, 423 segments), and Good recovery (</w:t>
      </w:r>
      <w:r w:rsidR="00A53BD2" w:rsidRPr="00E967CF">
        <w:rPr>
          <w:bCs/>
          <w:lang w:val="en-GB"/>
        </w:rPr>
        <w:t xml:space="preserve">GOSE 7–8; </w:t>
      </w:r>
      <w:r w:rsidR="0088031B" w:rsidRPr="00E967CF">
        <w:rPr>
          <w:bCs/>
          <w:lang w:val="en-GB"/>
        </w:rPr>
        <w:t>112</w:t>
      </w:r>
      <w:r w:rsidR="00DE0DFD" w:rsidRPr="00E967CF">
        <w:rPr>
          <w:bCs/>
          <w:lang w:val="en-GB"/>
        </w:rPr>
        <w:t xml:space="preserve"> patients</w:t>
      </w:r>
      <w:r w:rsidR="0088031B" w:rsidRPr="00E967CF">
        <w:rPr>
          <w:bCs/>
          <w:lang w:val="en-GB"/>
        </w:rPr>
        <w:t xml:space="preserve">, 305 segments). Points represent </w:t>
      </w:r>
      <w:r w:rsidR="00AD623C" w:rsidRPr="00E967CF">
        <w:rPr>
          <w:bCs/>
          <w:lang w:val="en-GB"/>
        </w:rPr>
        <w:t>EMM</w:t>
      </w:r>
      <w:r w:rsidR="0088031B" w:rsidRPr="00E967CF">
        <w:rPr>
          <w:bCs/>
          <w:lang w:val="en-GB"/>
        </w:rPr>
        <w:t xml:space="preserve">s from weighted LME models (weights = segment size) with patient random intercepts; error bars represent 95% CIs. </w:t>
      </w:r>
      <w:r w:rsidR="008E3569" w:rsidRPr="00E967CF">
        <w:rPr>
          <w:bCs/>
          <w:lang w:val="en-GB"/>
        </w:rPr>
        <w:t>Linear contrasts tested for monotonic trends across outcome categories:</w:t>
      </w:r>
      <w:r w:rsidR="00BC54F6" w:rsidRPr="00E967CF">
        <w:rPr>
          <w:bCs/>
          <w:lang w:val="en-GB"/>
        </w:rPr>
        <w:t xml:space="preserve"> (</w:t>
      </w:r>
      <w:r w:rsidR="00BC54F6" w:rsidRPr="00E967CF">
        <w:rPr>
          <w:b/>
          <w:lang w:val="en-GB"/>
        </w:rPr>
        <w:t>A</w:t>
      </w:r>
      <w:r w:rsidR="00BC54F6" w:rsidRPr="00E967CF">
        <w:rPr>
          <w:bCs/>
          <w:lang w:val="en-GB"/>
        </w:rPr>
        <w:t>)</w:t>
      </w:r>
      <w:r w:rsidR="008E3569" w:rsidRPr="00E967CF">
        <w:rPr>
          <w:bCs/>
          <w:lang w:val="en-GB"/>
        </w:rPr>
        <w:t xml:space="preserve"> LPR</w:t>
      </w:r>
      <w:r w:rsidR="00132F5E" w:rsidRPr="00E967CF">
        <w:rPr>
          <w:bCs/>
          <w:lang w:val="en-GB"/>
        </w:rPr>
        <w:t>,</w:t>
      </w:r>
      <w:r w:rsidR="008E3569" w:rsidRPr="00E967CF">
        <w:rPr>
          <w:bCs/>
          <w:lang w:val="en-GB"/>
        </w:rPr>
        <w:t xml:space="preserve"> β = -10.27 (</w:t>
      </w:r>
      <w:r w:rsidR="008E3569" w:rsidRPr="00E967CF">
        <w:rPr>
          <w:bCs/>
          <w:i/>
          <w:iCs/>
          <w:lang w:val="en-GB"/>
        </w:rPr>
        <w:t>p</w:t>
      </w:r>
      <w:r w:rsidR="008E3569" w:rsidRPr="00E967CF">
        <w:rPr>
          <w:bCs/>
          <w:lang w:val="en-GB"/>
        </w:rPr>
        <w:t xml:space="preserve"> = 0.030)</w:t>
      </w:r>
      <w:r w:rsidR="00132F5E" w:rsidRPr="00E967CF">
        <w:rPr>
          <w:bCs/>
          <w:lang w:val="en-GB"/>
        </w:rPr>
        <w:t>;</w:t>
      </w:r>
      <w:r w:rsidR="00BC54F6" w:rsidRPr="00E967CF">
        <w:rPr>
          <w:bCs/>
          <w:lang w:val="en-GB"/>
        </w:rPr>
        <w:t xml:space="preserve"> (</w:t>
      </w:r>
      <w:r w:rsidR="00BC54F6" w:rsidRPr="00E967CF">
        <w:rPr>
          <w:b/>
          <w:lang w:val="en-GB"/>
        </w:rPr>
        <w:t>B</w:t>
      </w:r>
      <w:r w:rsidR="00BC54F6" w:rsidRPr="00E967CF">
        <w:rPr>
          <w:bCs/>
          <w:lang w:val="en-GB"/>
        </w:rPr>
        <w:t>)</w:t>
      </w:r>
      <w:r w:rsidR="008E3569" w:rsidRPr="00E967CF">
        <w:rPr>
          <w:bCs/>
          <w:lang w:val="en-GB"/>
        </w:rPr>
        <w:t xml:space="preserve"> </w:t>
      </w:r>
      <w:r w:rsidR="008E3569" w:rsidRPr="00E967CF">
        <w:rPr>
          <w:bCs/>
          <w:i/>
          <w:iCs/>
          <w:lang w:val="en-GB"/>
        </w:rPr>
        <w:t>m</w:t>
      </w:r>
      <w:r w:rsidR="00132F5E" w:rsidRPr="00E967CF">
        <w:rPr>
          <w:bCs/>
          <w:lang w:val="en-GB"/>
        </w:rPr>
        <w:t>,</w:t>
      </w:r>
      <w:r w:rsidR="008E3569" w:rsidRPr="00E967CF">
        <w:rPr>
          <w:bCs/>
          <w:lang w:val="en-GB"/>
        </w:rPr>
        <w:t xml:space="preserve"> β = -5.59 (</w:t>
      </w:r>
      <w:r w:rsidR="008E3569" w:rsidRPr="00E967CF">
        <w:rPr>
          <w:bCs/>
          <w:i/>
          <w:iCs/>
          <w:lang w:val="en-GB"/>
        </w:rPr>
        <w:t>p</w:t>
      </w:r>
      <w:r w:rsidR="008E3569" w:rsidRPr="00E967CF">
        <w:rPr>
          <w:bCs/>
          <w:lang w:val="en-GB"/>
        </w:rPr>
        <w:t xml:space="preserve"> = 0.039)</w:t>
      </w:r>
      <w:r w:rsidR="00132F5E" w:rsidRPr="00E967CF">
        <w:rPr>
          <w:bCs/>
          <w:lang w:val="en-GB"/>
        </w:rPr>
        <w:t>;</w:t>
      </w:r>
      <w:r w:rsidR="00BC54F6" w:rsidRPr="00E967CF">
        <w:rPr>
          <w:bCs/>
          <w:lang w:val="en-GB"/>
        </w:rPr>
        <w:t xml:space="preserve"> (</w:t>
      </w:r>
      <w:r w:rsidR="00BC54F6" w:rsidRPr="00E967CF">
        <w:rPr>
          <w:b/>
          <w:lang w:val="en-GB"/>
        </w:rPr>
        <w:t>C</w:t>
      </w:r>
      <w:r w:rsidR="00BC54F6" w:rsidRPr="00E967CF">
        <w:rPr>
          <w:bCs/>
          <w:lang w:val="en-GB"/>
        </w:rPr>
        <w:t>)</w:t>
      </w:r>
      <w:r w:rsidR="008E3569" w:rsidRPr="00E967CF">
        <w:rPr>
          <w:bCs/>
          <w:lang w:val="en-GB"/>
        </w:rPr>
        <w:t xml:space="preserve"> </w:t>
      </w:r>
      <w:r w:rsidR="008E3569" w:rsidRPr="00E967CF">
        <w:rPr>
          <w:bCs/>
          <w:i/>
          <w:iCs/>
          <w:lang w:val="en-GB"/>
        </w:rPr>
        <w:t>b</w:t>
      </w:r>
      <w:r w:rsidR="00132F5E" w:rsidRPr="00E967CF">
        <w:rPr>
          <w:bCs/>
          <w:lang w:val="en-GB"/>
        </w:rPr>
        <w:t>,</w:t>
      </w:r>
      <w:r w:rsidR="008E3569" w:rsidRPr="00E967CF">
        <w:rPr>
          <w:bCs/>
          <w:lang w:val="en-GB"/>
        </w:rPr>
        <w:t xml:space="preserve"> β = 0.10 (</w:t>
      </w:r>
      <w:r w:rsidR="008E3569" w:rsidRPr="00E967CF">
        <w:rPr>
          <w:bCs/>
          <w:i/>
          <w:iCs/>
          <w:lang w:val="en-GB"/>
        </w:rPr>
        <w:t>p</w:t>
      </w:r>
      <w:r w:rsidR="008E3569" w:rsidRPr="00E967CF">
        <w:rPr>
          <w:bCs/>
          <w:lang w:val="en-GB"/>
        </w:rPr>
        <w:t xml:space="preserve"> = 0.806).</w:t>
      </w:r>
      <w:r w:rsidR="005E10B7" w:rsidRPr="00E967CF">
        <w:rPr>
          <w:bCs/>
          <w:lang w:val="en-GB"/>
        </w:rPr>
        <w:t xml:space="preserve"> (</w:t>
      </w:r>
      <w:r w:rsidR="005E10B7" w:rsidRPr="00E967CF">
        <w:rPr>
          <w:b/>
          <w:lang w:val="en-GB"/>
        </w:rPr>
        <w:t>A</w:t>
      </w:r>
      <w:r w:rsidR="005E10B7" w:rsidRPr="00E967CF">
        <w:rPr>
          <w:bCs/>
          <w:lang w:val="en-GB"/>
        </w:rPr>
        <w:t>–</w:t>
      </w:r>
      <w:r w:rsidR="005E10B7" w:rsidRPr="00E967CF">
        <w:rPr>
          <w:b/>
          <w:lang w:val="en-GB"/>
        </w:rPr>
        <w:t>C</w:t>
      </w:r>
      <w:r w:rsidR="005E10B7" w:rsidRPr="00E967CF">
        <w:rPr>
          <w:bCs/>
          <w:lang w:val="en-GB"/>
        </w:rPr>
        <w:t>) Cambridge cohort. (</w:t>
      </w:r>
      <w:r w:rsidR="005E10B7" w:rsidRPr="00E967CF">
        <w:rPr>
          <w:b/>
          <w:lang w:val="en-GB"/>
        </w:rPr>
        <w:t>D</w:t>
      </w:r>
      <w:r w:rsidR="005E10B7" w:rsidRPr="00E967CF">
        <w:rPr>
          <w:bCs/>
          <w:lang w:val="en-GB"/>
        </w:rPr>
        <w:t>–</w:t>
      </w:r>
      <w:r w:rsidR="005E10B7" w:rsidRPr="00E967CF">
        <w:rPr>
          <w:b/>
          <w:lang w:val="en-GB"/>
        </w:rPr>
        <w:t>F</w:t>
      </w:r>
      <w:r w:rsidR="005E10B7" w:rsidRPr="00E967CF">
        <w:rPr>
          <w:bCs/>
          <w:lang w:val="en-GB"/>
        </w:rPr>
        <w:t>) Corresponding analyses for the external validation cohort (Uppsala): Death (6 patients, 20 segments), Severe (29 patients, 74 segments), Moderate (16 patients, 41 segments), Good (18 patients, 52 segments). Linear contrasts: (</w:t>
      </w:r>
      <w:r w:rsidR="005E10B7" w:rsidRPr="00E967CF">
        <w:rPr>
          <w:b/>
          <w:lang w:val="en-GB"/>
        </w:rPr>
        <w:t>D</w:t>
      </w:r>
      <w:r w:rsidR="005E10B7" w:rsidRPr="00E967CF">
        <w:rPr>
          <w:bCs/>
          <w:lang w:val="en-GB"/>
        </w:rPr>
        <w:t>) LPR, β = -1.59 (</w:t>
      </w:r>
      <w:r w:rsidR="005E10B7" w:rsidRPr="00E967CF">
        <w:rPr>
          <w:bCs/>
          <w:i/>
          <w:iCs/>
          <w:lang w:val="en-GB"/>
        </w:rPr>
        <w:t>p</w:t>
      </w:r>
      <w:r w:rsidR="005E10B7" w:rsidRPr="00E967CF">
        <w:rPr>
          <w:bCs/>
          <w:lang w:val="en-GB"/>
        </w:rPr>
        <w:t xml:space="preserve"> = 0.470); (</w:t>
      </w:r>
      <w:r w:rsidR="005E10B7" w:rsidRPr="00E967CF">
        <w:rPr>
          <w:b/>
          <w:lang w:val="en-GB"/>
        </w:rPr>
        <w:t>E</w:t>
      </w:r>
      <w:r w:rsidR="005E10B7" w:rsidRPr="00E967CF">
        <w:rPr>
          <w:bCs/>
          <w:lang w:val="en-GB"/>
        </w:rPr>
        <w:t xml:space="preserve">) </w:t>
      </w:r>
      <w:r w:rsidR="005E10B7" w:rsidRPr="00E967CF">
        <w:rPr>
          <w:bCs/>
          <w:i/>
          <w:iCs/>
          <w:lang w:val="en-GB"/>
        </w:rPr>
        <w:t>m</w:t>
      </w:r>
      <w:r w:rsidR="005E10B7" w:rsidRPr="00E967CF">
        <w:rPr>
          <w:bCs/>
          <w:lang w:val="en-GB"/>
        </w:rPr>
        <w:t>, β = 6.51 (</w:t>
      </w:r>
      <w:r w:rsidR="005E10B7" w:rsidRPr="00E967CF">
        <w:rPr>
          <w:bCs/>
          <w:i/>
          <w:iCs/>
          <w:lang w:val="en-GB"/>
        </w:rPr>
        <w:t>p</w:t>
      </w:r>
      <w:r w:rsidR="005E10B7" w:rsidRPr="00E967CF">
        <w:rPr>
          <w:bCs/>
          <w:lang w:val="en-GB"/>
        </w:rPr>
        <w:t xml:space="preserve"> = 0.784); (</w:t>
      </w:r>
      <w:r w:rsidR="005E10B7" w:rsidRPr="00E967CF">
        <w:rPr>
          <w:b/>
          <w:lang w:val="en-GB"/>
        </w:rPr>
        <w:t>F</w:t>
      </w:r>
      <w:r w:rsidR="005E10B7" w:rsidRPr="00E967CF">
        <w:rPr>
          <w:bCs/>
          <w:lang w:val="en-GB"/>
        </w:rPr>
        <w:t xml:space="preserve">) </w:t>
      </w:r>
      <w:r w:rsidR="005E10B7" w:rsidRPr="00E967CF">
        <w:rPr>
          <w:bCs/>
          <w:i/>
          <w:iCs/>
          <w:lang w:val="en-GB"/>
        </w:rPr>
        <w:t>b</w:t>
      </w:r>
      <w:r w:rsidR="005E10B7" w:rsidRPr="00E967CF">
        <w:rPr>
          <w:bCs/>
          <w:lang w:val="en-GB"/>
        </w:rPr>
        <w:t>, β = -1.17 (</w:t>
      </w:r>
      <w:r w:rsidR="005E10B7" w:rsidRPr="00E967CF">
        <w:rPr>
          <w:bCs/>
          <w:i/>
          <w:iCs/>
          <w:lang w:val="en-GB"/>
        </w:rPr>
        <w:t>p</w:t>
      </w:r>
      <w:r w:rsidR="005E10B7" w:rsidRPr="00E967CF">
        <w:rPr>
          <w:bCs/>
          <w:lang w:val="en-GB"/>
        </w:rPr>
        <w:t xml:space="preserve"> = 0.546).</w:t>
      </w:r>
      <w:r w:rsidR="0091551F" w:rsidRPr="00E967CF">
        <w:rPr>
          <w:bCs/>
          <w:lang w:val="en-GB"/>
        </w:rPr>
        <w:t xml:space="preserve"> </w:t>
      </w:r>
      <w:r w:rsidR="0088031B" w:rsidRPr="00E967CF">
        <w:rPr>
          <w:b/>
          <w:i/>
          <w:iCs/>
          <w:lang w:val="en-GB"/>
        </w:rPr>
        <w:t>b</w:t>
      </w:r>
      <w:r w:rsidR="0088031B" w:rsidRPr="00E967CF">
        <w:rPr>
          <w:bCs/>
          <w:lang w:val="en-GB"/>
        </w:rPr>
        <w:t xml:space="preserve">, linear intercept; </w:t>
      </w:r>
      <w:r w:rsidR="0088031B" w:rsidRPr="00E967CF">
        <w:rPr>
          <w:b/>
          <w:lang w:val="en-GB"/>
        </w:rPr>
        <w:t>CI</w:t>
      </w:r>
      <w:r w:rsidR="0088031B" w:rsidRPr="00E967CF">
        <w:rPr>
          <w:bCs/>
          <w:lang w:val="en-GB"/>
        </w:rPr>
        <w:t xml:space="preserve">, confidence interval; </w:t>
      </w:r>
      <w:r w:rsidR="0088031B" w:rsidRPr="00E967CF">
        <w:rPr>
          <w:b/>
          <w:lang w:val="en-GB"/>
        </w:rPr>
        <w:t>EMM</w:t>
      </w:r>
      <w:r w:rsidR="0088031B" w:rsidRPr="00E967CF">
        <w:rPr>
          <w:bCs/>
          <w:lang w:val="en-GB"/>
        </w:rPr>
        <w:t xml:space="preserve">, estimated marginal mean; </w:t>
      </w:r>
      <w:r w:rsidR="0088031B" w:rsidRPr="00E967CF">
        <w:rPr>
          <w:b/>
          <w:lang w:val="en-GB"/>
        </w:rPr>
        <w:t>GOSE</w:t>
      </w:r>
      <w:r w:rsidR="0088031B" w:rsidRPr="00E967CF">
        <w:rPr>
          <w:bCs/>
          <w:lang w:val="en-GB"/>
        </w:rPr>
        <w:t xml:space="preserve">, Glasgow Outcome Scale-Extended; </w:t>
      </w:r>
      <w:r w:rsidR="0088031B" w:rsidRPr="00E967CF">
        <w:rPr>
          <w:b/>
          <w:lang w:val="en-GB"/>
        </w:rPr>
        <w:t>LME</w:t>
      </w:r>
      <w:r w:rsidR="0088031B" w:rsidRPr="00E967CF">
        <w:rPr>
          <w:bCs/>
          <w:lang w:val="en-GB"/>
        </w:rPr>
        <w:t xml:space="preserve">, linear mixed-effects model; </w:t>
      </w:r>
      <w:r w:rsidR="0088031B" w:rsidRPr="00E967CF">
        <w:rPr>
          <w:b/>
          <w:lang w:val="en-GB"/>
        </w:rPr>
        <w:t>LPR</w:t>
      </w:r>
      <w:r w:rsidR="0088031B" w:rsidRPr="00E967CF">
        <w:rPr>
          <w:bCs/>
          <w:lang w:val="en-GB"/>
        </w:rPr>
        <w:t xml:space="preserve">, lactate/pyruvate ratio; </w:t>
      </w:r>
      <w:r w:rsidR="0088031B" w:rsidRPr="00E967CF">
        <w:rPr>
          <w:b/>
          <w:i/>
          <w:iCs/>
          <w:lang w:val="en-GB"/>
        </w:rPr>
        <w:t>m</w:t>
      </w:r>
      <w:r w:rsidR="0088031B" w:rsidRPr="00E967CF">
        <w:rPr>
          <w:bCs/>
          <w:lang w:val="en-GB"/>
        </w:rPr>
        <w:t xml:space="preserve">, linear </w:t>
      </w:r>
      <w:r w:rsidR="005979B7" w:rsidRPr="00E967CF">
        <w:rPr>
          <w:bCs/>
          <w:lang w:val="en-GB"/>
        </w:rPr>
        <w:t>gradient</w:t>
      </w:r>
      <w:r w:rsidR="0088031B" w:rsidRPr="00E967CF">
        <w:rPr>
          <w:bCs/>
          <w:lang w:val="en-GB"/>
        </w:rPr>
        <w:t>.</w:t>
      </w:r>
    </w:p>
    <w:bookmarkEnd w:id="50"/>
    <w:p w14:paraId="28A7B370" w14:textId="77777777" w:rsidR="00B213C9" w:rsidRPr="00E967CF" w:rsidRDefault="00B213C9" w:rsidP="00B213C9">
      <w:pPr>
        <w:spacing w:before="0" w:line="240" w:lineRule="auto"/>
        <w:jc w:val="left"/>
        <w:rPr>
          <w:b/>
          <w:lang w:val="en-GB"/>
        </w:rPr>
      </w:pPr>
    </w:p>
    <w:p w14:paraId="6320CA43" w14:textId="39DA0857" w:rsidR="00B213C9" w:rsidRPr="00E967CF" w:rsidRDefault="00C77D04" w:rsidP="00A93C44">
      <w:pPr>
        <w:spacing w:line="240" w:lineRule="auto"/>
        <w:rPr>
          <w:bCs/>
          <w:lang w:val="en-GB"/>
        </w:rPr>
      </w:pPr>
      <w:r w:rsidRPr="00E967CF">
        <w:rPr>
          <w:b/>
          <w:lang w:val="en-GB"/>
        </w:rPr>
        <w:t xml:space="preserve">Figure </w:t>
      </w:r>
      <w:r w:rsidR="00604ABB" w:rsidRPr="00E967CF">
        <w:rPr>
          <w:b/>
          <w:lang w:val="en-GB"/>
        </w:rPr>
        <w:t>7</w:t>
      </w:r>
      <w:r w:rsidRPr="00E967CF">
        <w:rPr>
          <w:b/>
          <w:lang w:val="en-GB"/>
        </w:rPr>
        <w:t xml:space="preserve">. </w:t>
      </w:r>
      <w:r w:rsidRPr="00E967CF">
        <w:rPr>
          <w:b/>
          <w:i/>
          <w:iCs/>
          <w:lang w:val="en-GB"/>
        </w:rPr>
        <w:t>In vitro</w:t>
      </w:r>
      <w:r w:rsidRPr="00E967CF">
        <w:rPr>
          <w:b/>
          <w:lang w:val="en-GB"/>
        </w:rPr>
        <w:t xml:space="preserve"> lactate–pyruvate relationship under ETC inhibition.</w:t>
      </w:r>
      <w:r w:rsidR="00B213C9" w:rsidRPr="00E967CF">
        <w:rPr>
          <w:bCs/>
          <w:lang w:val="en-GB"/>
        </w:rPr>
        <w:t xml:space="preserve"> </w:t>
      </w:r>
      <w:r w:rsidR="00235084" w:rsidRPr="00E967CF">
        <w:rPr>
          <w:bCs/>
          <w:lang w:val="en-GB"/>
        </w:rPr>
        <w:t xml:space="preserve">Lactate vs pyruvate for control (blue; n = 34; </w:t>
      </w:r>
      <w:r w:rsidR="00235084" w:rsidRPr="00E967CF">
        <w:rPr>
          <w:bCs/>
          <w:i/>
          <w:iCs/>
          <w:lang w:val="en-GB"/>
        </w:rPr>
        <w:t>m</w:t>
      </w:r>
      <w:r w:rsidR="00235084" w:rsidRPr="00E967CF">
        <w:rPr>
          <w:bCs/>
          <w:lang w:val="en-GB"/>
        </w:rPr>
        <w:t xml:space="preserve"> = 14.2, </w:t>
      </w:r>
      <w:r w:rsidR="00235084" w:rsidRPr="00E967CF">
        <w:rPr>
          <w:bCs/>
          <w:i/>
          <w:iCs/>
          <w:lang w:val="en-GB"/>
        </w:rPr>
        <w:t>b</w:t>
      </w:r>
      <w:r w:rsidR="00235084" w:rsidRPr="00E967CF">
        <w:rPr>
          <w:bCs/>
          <w:lang w:val="en-GB"/>
        </w:rPr>
        <w:t xml:space="preserve"> = 0.026 mM, R² = 0.66) and rotenone-treated (red; n = 34;</w:t>
      </w:r>
      <w:r w:rsidR="0088082C" w:rsidRPr="00E967CF">
        <w:rPr>
          <w:bCs/>
          <w:lang w:val="en-GB"/>
        </w:rPr>
        <w:t xml:space="preserve"> </w:t>
      </w:r>
      <w:r w:rsidR="00235084" w:rsidRPr="00E967CF">
        <w:rPr>
          <w:bCs/>
          <w:i/>
          <w:iCs/>
          <w:lang w:val="en-GB"/>
        </w:rPr>
        <w:t>m</w:t>
      </w:r>
      <w:r w:rsidR="00235084" w:rsidRPr="00E967CF">
        <w:rPr>
          <w:bCs/>
          <w:lang w:val="en-GB"/>
        </w:rPr>
        <w:t xml:space="preserve"> = 32.9, </w:t>
      </w:r>
      <w:r w:rsidR="00235084" w:rsidRPr="00E967CF">
        <w:rPr>
          <w:bCs/>
          <w:i/>
          <w:iCs/>
          <w:lang w:val="en-GB"/>
        </w:rPr>
        <w:t>b</w:t>
      </w:r>
      <w:r w:rsidR="00235084" w:rsidRPr="00E967CF">
        <w:rPr>
          <w:bCs/>
          <w:lang w:val="en-GB"/>
        </w:rPr>
        <w:t xml:space="preserve"> = -0.107 mM, R² = 0.80) hiPSC-derived neurons. ANCOVA confirmed a significant shift in </w:t>
      </w:r>
      <w:r w:rsidR="00235084" w:rsidRPr="00E967CF">
        <w:rPr>
          <w:bCs/>
          <w:i/>
          <w:iCs/>
          <w:lang w:val="en-GB"/>
        </w:rPr>
        <w:t>m</w:t>
      </w:r>
      <w:r w:rsidR="00235084" w:rsidRPr="00E967CF">
        <w:rPr>
          <w:bCs/>
          <w:lang w:val="en-GB"/>
        </w:rPr>
        <w:t xml:space="preserve"> (</w:t>
      </w:r>
      <w:r w:rsidR="00235084" w:rsidRPr="00E967CF">
        <w:rPr>
          <w:bCs/>
          <w:i/>
          <w:iCs/>
          <w:lang w:val="en-GB"/>
        </w:rPr>
        <w:t>p</w:t>
      </w:r>
      <w:r w:rsidR="00235084" w:rsidRPr="00E967CF">
        <w:rPr>
          <w:bCs/>
          <w:lang w:val="en-GB"/>
        </w:rPr>
        <w:t xml:space="preserve"> &lt; 0.001) and </w:t>
      </w:r>
      <w:r w:rsidR="00235084" w:rsidRPr="00E967CF">
        <w:rPr>
          <w:bCs/>
          <w:i/>
          <w:iCs/>
          <w:lang w:val="en-GB"/>
        </w:rPr>
        <w:t>b</w:t>
      </w:r>
      <w:r w:rsidR="00235084" w:rsidRPr="00E967CF">
        <w:rPr>
          <w:bCs/>
          <w:lang w:val="en-GB"/>
        </w:rPr>
        <w:t xml:space="preserve"> (</w:t>
      </w:r>
      <w:r w:rsidR="00235084" w:rsidRPr="00E967CF">
        <w:rPr>
          <w:bCs/>
          <w:i/>
          <w:iCs/>
          <w:lang w:val="en-GB"/>
        </w:rPr>
        <w:t>p</w:t>
      </w:r>
      <w:r w:rsidR="00235084" w:rsidRPr="00E967CF">
        <w:rPr>
          <w:bCs/>
          <w:lang w:val="en-GB"/>
        </w:rPr>
        <w:t xml:space="preserve"> &lt; 0.001; residual df = 64). </w:t>
      </w:r>
      <w:r w:rsidR="00093CE3" w:rsidRPr="00E967CF">
        <w:rPr>
          <w:bCs/>
          <w:lang w:val="en-GB"/>
        </w:rPr>
        <w:t>Points represent individual measurements from four independent experiments, each condition having ≥ 2 technical replicates, pooled across timepoints between 1 and 24 hours.</w:t>
      </w:r>
      <w:r w:rsidR="00235084" w:rsidRPr="00E967CF">
        <w:rPr>
          <w:bCs/>
          <w:lang w:val="en-GB"/>
        </w:rPr>
        <w:t xml:space="preserve"> Lines represent OLS regression fits; shaded regions represent 95% CIs. </w:t>
      </w:r>
      <w:r w:rsidR="00235084" w:rsidRPr="00E967CF">
        <w:rPr>
          <w:b/>
          <w:lang w:val="en-GB"/>
        </w:rPr>
        <w:t>ANCOVA</w:t>
      </w:r>
      <w:r w:rsidR="00235084" w:rsidRPr="00E967CF">
        <w:rPr>
          <w:bCs/>
          <w:lang w:val="en-GB"/>
        </w:rPr>
        <w:t xml:space="preserve">, analysis of covariance; </w:t>
      </w:r>
      <w:r w:rsidR="00235084" w:rsidRPr="00E967CF">
        <w:rPr>
          <w:b/>
          <w:i/>
          <w:iCs/>
          <w:lang w:val="en-GB"/>
        </w:rPr>
        <w:t>b</w:t>
      </w:r>
      <w:r w:rsidR="00235084" w:rsidRPr="00E967CF">
        <w:rPr>
          <w:bCs/>
          <w:lang w:val="en-GB"/>
        </w:rPr>
        <w:t xml:space="preserve">, linear intercept; </w:t>
      </w:r>
      <w:r w:rsidR="00235084" w:rsidRPr="00E967CF">
        <w:rPr>
          <w:b/>
          <w:lang w:val="en-GB"/>
        </w:rPr>
        <w:t>CI</w:t>
      </w:r>
      <w:r w:rsidR="00235084" w:rsidRPr="00E967CF">
        <w:rPr>
          <w:bCs/>
          <w:lang w:val="en-GB"/>
        </w:rPr>
        <w:t xml:space="preserve">, confidence interval; </w:t>
      </w:r>
      <w:r w:rsidR="00235084" w:rsidRPr="00E967CF">
        <w:rPr>
          <w:b/>
          <w:lang w:val="en-GB"/>
        </w:rPr>
        <w:t>ETC</w:t>
      </w:r>
      <w:r w:rsidR="00235084" w:rsidRPr="00E967CF">
        <w:rPr>
          <w:bCs/>
          <w:lang w:val="en-GB"/>
        </w:rPr>
        <w:t xml:space="preserve">, electron transport chain; </w:t>
      </w:r>
      <w:r w:rsidR="00235084" w:rsidRPr="00E967CF">
        <w:rPr>
          <w:b/>
          <w:lang w:val="en-GB"/>
        </w:rPr>
        <w:t>hiPSC</w:t>
      </w:r>
      <w:r w:rsidR="00235084" w:rsidRPr="00E967CF">
        <w:rPr>
          <w:bCs/>
          <w:lang w:val="en-GB"/>
        </w:rPr>
        <w:t xml:space="preserve">, human induced pluripotent stem cell; </w:t>
      </w:r>
      <w:r w:rsidR="00235084" w:rsidRPr="00E967CF">
        <w:rPr>
          <w:b/>
          <w:i/>
          <w:iCs/>
          <w:lang w:val="en-GB"/>
        </w:rPr>
        <w:t>m</w:t>
      </w:r>
      <w:r w:rsidR="00235084" w:rsidRPr="00E967CF">
        <w:rPr>
          <w:bCs/>
          <w:lang w:val="en-GB"/>
        </w:rPr>
        <w:t xml:space="preserve">, linear </w:t>
      </w:r>
      <w:r w:rsidR="005979B7" w:rsidRPr="00E967CF">
        <w:rPr>
          <w:bCs/>
          <w:lang w:val="en-GB"/>
        </w:rPr>
        <w:t>gradient</w:t>
      </w:r>
      <w:r w:rsidR="00235084" w:rsidRPr="00E967CF">
        <w:rPr>
          <w:bCs/>
          <w:lang w:val="en-GB"/>
        </w:rPr>
        <w:t xml:space="preserve">; </w:t>
      </w:r>
      <w:r w:rsidR="00235084" w:rsidRPr="00E967CF">
        <w:rPr>
          <w:b/>
          <w:lang w:val="en-GB"/>
        </w:rPr>
        <w:t>OLS</w:t>
      </w:r>
      <w:r w:rsidR="00235084" w:rsidRPr="00E967CF">
        <w:rPr>
          <w:bCs/>
          <w:lang w:val="en-GB"/>
        </w:rPr>
        <w:t>, ordinary least squares.</w:t>
      </w:r>
      <w:bookmarkEnd w:id="0"/>
    </w:p>
    <w:sectPr w:rsidR="00B213C9" w:rsidRPr="00E967CF" w:rsidSect="00C501C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C8198" w14:textId="77777777" w:rsidR="001721DA" w:rsidRDefault="001721DA" w:rsidP="00205120">
      <w:r>
        <w:separator/>
      </w:r>
    </w:p>
  </w:endnote>
  <w:endnote w:type="continuationSeparator" w:id="0">
    <w:p w14:paraId="5AC4059F" w14:textId="77777777" w:rsidR="001721DA" w:rsidRDefault="001721DA" w:rsidP="00205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576E9" w14:textId="77777777" w:rsidR="001721DA" w:rsidRDefault="001721DA" w:rsidP="00205120">
      <w:r>
        <w:separator/>
      </w:r>
    </w:p>
  </w:footnote>
  <w:footnote w:type="continuationSeparator" w:id="0">
    <w:p w14:paraId="77968634" w14:textId="77777777" w:rsidR="001721DA" w:rsidRDefault="001721DA" w:rsidP="002051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F0A1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443E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868E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87A0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50E61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AC74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0AC6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C7CBA4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C290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C37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6506432"/>
    <w:multiLevelType w:val="hybridMultilevel"/>
    <w:tmpl w:val="2B48A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152274">
    <w:abstractNumId w:val="9"/>
  </w:num>
  <w:num w:numId="2" w16cid:durableId="1102384664">
    <w:abstractNumId w:val="7"/>
  </w:num>
  <w:num w:numId="3" w16cid:durableId="271011103">
    <w:abstractNumId w:val="6"/>
  </w:num>
  <w:num w:numId="4" w16cid:durableId="2108042437">
    <w:abstractNumId w:val="5"/>
  </w:num>
  <w:num w:numId="5" w16cid:durableId="1732072899">
    <w:abstractNumId w:val="4"/>
  </w:num>
  <w:num w:numId="6" w16cid:durableId="1000279256">
    <w:abstractNumId w:val="8"/>
  </w:num>
  <w:num w:numId="7" w16cid:durableId="1831866819">
    <w:abstractNumId w:val="3"/>
  </w:num>
  <w:num w:numId="8" w16cid:durableId="1830094855">
    <w:abstractNumId w:val="2"/>
  </w:num>
  <w:num w:numId="9" w16cid:durableId="867573138">
    <w:abstractNumId w:val="1"/>
  </w:num>
  <w:num w:numId="10" w16cid:durableId="1923174224">
    <w:abstractNumId w:val="0"/>
  </w:num>
  <w:num w:numId="11" w16cid:durableId="11448080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3B7B"/>
    <w:rsid w:val="0000095B"/>
    <w:rsid w:val="00000A9A"/>
    <w:rsid w:val="0000116F"/>
    <w:rsid w:val="00003DE1"/>
    <w:rsid w:val="00003FE6"/>
    <w:rsid w:val="00004C70"/>
    <w:rsid w:val="00004C9A"/>
    <w:rsid w:val="00005354"/>
    <w:rsid w:val="00007ABB"/>
    <w:rsid w:val="00007C50"/>
    <w:rsid w:val="00007E67"/>
    <w:rsid w:val="000101E9"/>
    <w:rsid w:val="0001028E"/>
    <w:rsid w:val="000106A1"/>
    <w:rsid w:val="000106B5"/>
    <w:rsid w:val="000112D1"/>
    <w:rsid w:val="0001198A"/>
    <w:rsid w:val="000120E8"/>
    <w:rsid w:val="00012450"/>
    <w:rsid w:val="00014B47"/>
    <w:rsid w:val="00014B98"/>
    <w:rsid w:val="000153DC"/>
    <w:rsid w:val="0001568A"/>
    <w:rsid w:val="00015EA1"/>
    <w:rsid w:val="000165F8"/>
    <w:rsid w:val="00016D5E"/>
    <w:rsid w:val="00016F3D"/>
    <w:rsid w:val="00017DA3"/>
    <w:rsid w:val="00021044"/>
    <w:rsid w:val="00021B84"/>
    <w:rsid w:val="00021C57"/>
    <w:rsid w:val="000224CE"/>
    <w:rsid w:val="0002251D"/>
    <w:rsid w:val="000229D3"/>
    <w:rsid w:val="0002327B"/>
    <w:rsid w:val="00024554"/>
    <w:rsid w:val="000259A7"/>
    <w:rsid w:val="00027BCD"/>
    <w:rsid w:val="00031D89"/>
    <w:rsid w:val="00033466"/>
    <w:rsid w:val="00033E09"/>
    <w:rsid w:val="00035B21"/>
    <w:rsid w:val="000362A7"/>
    <w:rsid w:val="000368E3"/>
    <w:rsid w:val="00036C08"/>
    <w:rsid w:val="00036D56"/>
    <w:rsid w:val="00036FC0"/>
    <w:rsid w:val="00037BFC"/>
    <w:rsid w:val="000412A8"/>
    <w:rsid w:val="000417F0"/>
    <w:rsid w:val="00042235"/>
    <w:rsid w:val="00043AEE"/>
    <w:rsid w:val="00043FC7"/>
    <w:rsid w:val="0004461A"/>
    <w:rsid w:val="00044A94"/>
    <w:rsid w:val="000465B1"/>
    <w:rsid w:val="00046A28"/>
    <w:rsid w:val="00046B60"/>
    <w:rsid w:val="000474C8"/>
    <w:rsid w:val="00050BAD"/>
    <w:rsid w:val="00052467"/>
    <w:rsid w:val="00053AD5"/>
    <w:rsid w:val="000556FD"/>
    <w:rsid w:val="00056495"/>
    <w:rsid w:val="00056611"/>
    <w:rsid w:val="0005663B"/>
    <w:rsid w:val="00056D25"/>
    <w:rsid w:val="000574F3"/>
    <w:rsid w:val="0005757D"/>
    <w:rsid w:val="0006092C"/>
    <w:rsid w:val="00061329"/>
    <w:rsid w:val="000638E6"/>
    <w:rsid w:val="00063F3E"/>
    <w:rsid w:val="00065604"/>
    <w:rsid w:val="00065BC8"/>
    <w:rsid w:val="000672E0"/>
    <w:rsid w:val="0006734E"/>
    <w:rsid w:val="00067545"/>
    <w:rsid w:val="000679A3"/>
    <w:rsid w:val="000704FB"/>
    <w:rsid w:val="00071DEE"/>
    <w:rsid w:val="000723BA"/>
    <w:rsid w:val="00072548"/>
    <w:rsid w:val="00073054"/>
    <w:rsid w:val="000731B8"/>
    <w:rsid w:val="000732D6"/>
    <w:rsid w:val="000737F1"/>
    <w:rsid w:val="00073942"/>
    <w:rsid w:val="00073FDA"/>
    <w:rsid w:val="0007499D"/>
    <w:rsid w:val="00074B83"/>
    <w:rsid w:val="0007578F"/>
    <w:rsid w:val="00075D58"/>
    <w:rsid w:val="00076CF7"/>
    <w:rsid w:val="00076F73"/>
    <w:rsid w:val="0008079C"/>
    <w:rsid w:val="00080A7A"/>
    <w:rsid w:val="00081962"/>
    <w:rsid w:val="00081CD3"/>
    <w:rsid w:val="00081D33"/>
    <w:rsid w:val="0008236F"/>
    <w:rsid w:val="00082CBE"/>
    <w:rsid w:val="000844C7"/>
    <w:rsid w:val="00084D64"/>
    <w:rsid w:val="00085A01"/>
    <w:rsid w:val="00085CFA"/>
    <w:rsid w:val="00086EB0"/>
    <w:rsid w:val="00087C80"/>
    <w:rsid w:val="00091830"/>
    <w:rsid w:val="000923EC"/>
    <w:rsid w:val="0009276C"/>
    <w:rsid w:val="00093CE3"/>
    <w:rsid w:val="0009430A"/>
    <w:rsid w:val="0009479D"/>
    <w:rsid w:val="00094C8A"/>
    <w:rsid w:val="00095A1B"/>
    <w:rsid w:val="0009704F"/>
    <w:rsid w:val="000977D2"/>
    <w:rsid w:val="000A17A9"/>
    <w:rsid w:val="000A1C6D"/>
    <w:rsid w:val="000A2373"/>
    <w:rsid w:val="000A2D03"/>
    <w:rsid w:val="000A594D"/>
    <w:rsid w:val="000B0754"/>
    <w:rsid w:val="000B0B25"/>
    <w:rsid w:val="000B3155"/>
    <w:rsid w:val="000B3596"/>
    <w:rsid w:val="000B5F71"/>
    <w:rsid w:val="000B6225"/>
    <w:rsid w:val="000B6EB9"/>
    <w:rsid w:val="000B6F52"/>
    <w:rsid w:val="000B6FC2"/>
    <w:rsid w:val="000B76C5"/>
    <w:rsid w:val="000C0282"/>
    <w:rsid w:val="000C0990"/>
    <w:rsid w:val="000C145F"/>
    <w:rsid w:val="000C1ABD"/>
    <w:rsid w:val="000C291E"/>
    <w:rsid w:val="000C3F5C"/>
    <w:rsid w:val="000C529A"/>
    <w:rsid w:val="000C5403"/>
    <w:rsid w:val="000C561C"/>
    <w:rsid w:val="000C5DD4"/>
    <w:rsid w:val="000C5EB7"/>
    <w:rsid w:val="000C6D93"/>
    <w:rsid w:val="000D1AF9"/>
    <w:rsid w:val="000D1E26"/>
    <w:rsid w:val="000D28FA"/>
    <w:rsid w:val="000D36C0"/>
    <w:rsid w:val="000D37BC"/>
    <w:rsid w:val="000D3C9D"/>
    <w:rsid w:val="000D40BE"/>
    <w:rsid w:val="000E0213"/>
    <w:rsid w:val="000E04A3"/>
    <w:rsid w:val="000E0D31"/>
    <w:rsid w:val="000E2046"/>
    <w:rsid w:val="000E4EA7"/>
    <w:rsid w:val="000E4F19"/>
    <w:rsid w:val="000E6AA3"/>
    <w:rsid w:val="000E7252"/>
    <w:rsid w:val="000E7316"/>
    <w:rsid w:val="000E7A23"/>
    <w:rsid w:val="000F08A9"/>
    <w:rsid w:val="000F15C3"/>
    <w:rsid w:val="000F1C80"/>
    <w:rsid w:val="000F1E10"/>
    <w:rsid w:val="000F1F9D"/>
    <w:rsid w:val="000F2372"/>
    <w:rsid w:val="000F36B8"/>
    <w:rsid w:val="000F3F0C"/>
    <w:rsid w:val="000F445E"/>
    <w:rsid w:val="000F556C"/>
    <w:rsid w:val="000F5D5C"/>
    <w:rsid w:val="000F6056"/>
    <w:rsid w:val="000F76CE"/>
    <w:rsid w:val="0010024F"/>
    <w:rsid w:val="00100C0A"/>
    <w:rsid w:val="001024FF"/>
    <w:rsid w:val="001026FB"/>
    <w:rsid w:val="0010337C"/>
    <w:rsid w:val="001034F3"/>
    <w:rsid w:val="00103E69"/>
    <w:rsid w:val="00104291"/>
    <w:rsid w:val="00105EE1"/>
    <w:rsid w:val="001061B0"/>
    <w:rsid w:val="00106EED"/>
    <w:rsid w:val="001079F7"/>
    <w:rsid w:val="00110A16"/>
    <w:rsid w:val="00110D9E"/>
    <w:rsid w:val="001110D0"/>
    <w:rsid w:val="001123DE"/>
    <w:rsid w:val="00112651"/>
    <w:rsid w:val="001137A9"/>
    <w:rsid w:val="001141AC"/>
    <w:rsid w:val="00114C02"/>
    <w:rsid w:val="0011637E"/>
    <w:rsid w:val="00117079"/>
    <w:rsid w:val="00120431"/>
    <w:rsid w:val="001218A4"/>
    <w:rsid w:val="001233F7"/>
    <w:rsid w:val="00123E48"/>
    <w:rsid w:val="00123F4C"/>
    <w:rsid w:val="00124172"/>
    <w:rsid w:val="001242DB"/>
    <w:rsid w:val="00124C44"/>
    <w:rsid w:val="00125C50"/>
    <w:rsid w:val="00125FD8"/>
    <w:rsid w:val="00125FE3"/>
    <w:rsid w:val="001300A4"/>
    <w:rsid w:val="00130337"/>
    <w:rsid w:val="001304D1"/>
    <w:rsid w:val="001305CF"/>
    <w:rsid w:val="00130A37"/>
    <w:rsid w:val="00130E48"/>
    <w:rsid w:val="0013193D"/>
    <w:rsid w:val="00132A21"/>
    <w:rsid w:val="00132DCA"/>
    <w:rsid w:val="00132F5E"/>
    <w:rsid w:val="00133997"/>
    <w:rsid w:val="001351A3"/>
    <w:rsid w:val="00136033"/>
    <w:rsid w:val="001367A6"/>
    <w:rsid w:val="00136B95"/>
    <w:rsid w:val="001373FF"/>
    <w:rsid w:val="001404EB"/>
    <w:rsid w:val="001407A2"/>
    <w:rsid w:val="00141AEE"/>
    <w:rsid w:val="00145FC0"/>
    <w:rsid w:val="00146074"/>
    <w:rsid w:val="00146C74"/>
    <w:rsid w:val="001472C2"/>
    <w:rsid w:val="00147928"/>
    <w:rsid w:val="0015086B"/>
    <w:rsid w:val="001510FA"/>
    <w:rsid w:val="0015115A"/>
    <w:rsid w:val="001521AE"/>
    <w:rsid w:val="00152568"/>
    <w:rsid w:val="00152BC7"/>
    <w:rsid w:val="00153328"/>
    <w:rsid w:val="00153745"/>
    <w:rsid w:val="00153F7E"/>
    <w:rsid w:val="00153FC9"/>
    <w:rsid w:val="00153FFF"/>
    <w:rsid w:val="00154F65"/>
    <w:rsid w:val="001551A6"/>
    <w:rsid w:val="00156B71"/>
    <w:rsid w:val="00160500"/>
    <w:rsid w:val="00160888"/>
    <w:rsid w:val="00160D41"/>
    <w:rsid w:val="00161033"/>
    <w:rsid w:val="0016320D"/>
    <w:rsid w:val="001632F8"/>
    <w:rsid w:val="001638A6"/>
    <w:rsid w:val="00164BDC"/>
    <w:rsid w:val="001650F2"/>
    <w:rsid w:val="00167096"/>
    <w:rsid w:val="001670F5"/>
    <w:rsid w:val="00171177"/>
    <w:rsid w:val="001717A3"/>
    <w:rsid w:val="001721C0"/>
    <w:rsid w:val="001721DA"/>
    <w:rsid w:val="001723BF"/>
    <w:rsid w:val="00172ADE"/>
    <w:rsid w:val="00172B5A"/>
    <w:rsid w:val="00174374"/>
    <w:rsid w:val="001753D5"/>
    <w:rsid w:val="00175F6B"/>
    <w:rsid w:val="0017711A"/>
    <w:rsid w:val="001778F2"/>
    <w:rsid w:val="001804FD"/>
    <w:rsid w:val="00182274"/>
    <w:rsid w:val="001829A8"/>
    <w:rsid w:val="00183205"/>
    <w:rsid w:val="00183A0E"/>
    <w:rsid w:val="00183E7E"/>
    <w:rsid w:val="001856D6"/>
    <w:rsid w:val="00185BCC"/>
    <w:rsid w:val="00185D6D"/>
    <w:rsid w:val="00186620"/>
    <w:rsid w:val="00186A2F"/>
    <w:rsid w:val="001870FA"/>
    <w:rsid w:val="001871BE"/>
    <w:rsid w:val="001873CB"/>
    <w:rsid w:val="00187E29"/>
    <w:rsid w:val="00192D08"/>
    <w:rsid w:val="0019345F"/>
    <w:rsid w:val="0019380F"/>
    <w:rsid w:val="00193EFC"/>
    <w:rsid w:val="0019419F"/>
    <w:rsid w:val="00194DDD"/>
    <w:rsid w:val="00195987"/>
    <w:rsid w:val="00196BF6"/>
    <w:rsid w:val="00197471"/>
    <w:rsid w:val="00197EAE"/>
    <w:rsid w:val="001A0D3A"/>
    <w:rsid w:val="001A18AD"/>
    <w:rsid w:val="001A22B1"/>
    <w:rsid w:val="001A2518"/>
    <w:rsid w:val="001A32C5"/>
    <w:rsid w:val="001A3502"/>
    <w:rsid w:val="001A39FA"/>
    <w:rsid w:val="001A4092"/>
    <w:rsid w:val="001A4B0D"/>
    <w:rsid w:val="001A5208"/>
    <w:rsid w:val="001A5311"/>
    <w:rsid w:val="001A548E"/>
    <w:rsid w:val="001A5C28"/>
    <w:rsid w:val="001A61D9"/>
    <w:rsid w:val="001A697A"/>
    <w:rsid w:val="001A6B98"/>
    <w:rsid w:val="001B0AB5"/>
    <w:rsid w:val="001B1788"/>
    <w:rsid w:val="001B1D0F"/>
    <w:rsid w:val="001B330F"/>
    <w:rsid w:val="001B3EBB"/>
    <w:rsid w:val="001B4A1F"/>
    <w:rsid w:val="001B5F97"/>
    <w:rsid w:val="001B664A"/>
    <w:rsid w:val="001B6F15"/>
    <w:rsid w:val="001B72BE"/>
    <w:rsid w:val="001B75B9"/>
    <w:rsid w:val="001B7AB7"/>
    <w:rsid w:val="001B7F6A"/>
    <w:rsid w:val="001C145F"/>
    <w:rsid w:val="001C25B8"/>
    <w:rsid w:val="001C2A9E"/>
    <w:rsid w:val="001C2BD8"/>
    <w:rsid w:val="001C2D15"/>
    <w:rsid w:val="001C317D"/>
    <w:rsid w:val="001C3903"/>
    <w:rsid w:val="001C3B64"/>
    <w:rsid w:val="001C3FB7"/>
    <w:rsid w:val="001C5F79"/>
    <w:rsid w:val="001C612E"/>
    <w:rsid w:val="001C70F9"/>
    <w:rsid w:val="001C78A3"/>
    <w:rsid w:val="001C7CA8"/>
    <w:rsid w:val="001C7CAA"/>
    <w:rsid w:val="001C7DE4"/>
    <w:rsid w:val="001D0F7A"/>
    <w:rsid w:val="001D1F05"/>
    <w:rsid w:val="001D2083"/>
    <w:rsid w:val="001D2CC3"/>
    <w:rsid w:val="001D56A6"/>
    <w:rsid w:val="001D5820"/>
    <w:rsid w:val="001D5C03"/>
    <w:rsid w:val="001D5CE9"/>
    <w:rsid w:val="001D5E2E"/>
    <w:rsid w:val="001D6A5F"/>
    <w:rsid w:val="001D78E9"/>
    <w:rsid w:val="001E090F"/>
    <w:rsid w:val="001E0C2A"/>
    <w:rsid w:val="001E1D29"/>
    <w:rsid w:val="001E435C"/>
    <w:rsid w:val="001E4C73"/>
    <w:rsid w:val="001E5560"/>
    <w:rsid w:val="001E5A5A"/>
    <w:rsid w:val="001E5EDA"/>
    <w:rsid w:val="001E65F1"/>
    <w:rsid w:val="001E672F"/>
    <w:rsid w:val="001E7286"/>
    <w:rsid w:val="001F0054"/>
    <w:rsid w:val="001F02B8"/>
    <w:rsid w:val="001F0DD1"/>
    <w:rsid w:val="001F1A36"/>
    <w:rsid w:val="001F22A5"/>
    <w:rsid w:val="001F39CC"/>
    <w:rsid w:val="001F430C"/>
    <w:rsid w:val="001F55EA"/>
    <w:rsid w:val="001F5F5B"/>
    <w:rsid w:val="001F62F5"/>
    <w:rsid w:val="001F65EE"/>
    <w:rsid w:val="001F6C77"/>
    <w:rsid w:val="001F7C5D"/>
    <w:rsid w:val="00200366"/>
    <w:rsid w:val="002017E4"/>
    <w:rsid w:val="002024A3"/>
    <w:rsid w:val="00204A1C"/>
    <w:rsid w:val="00205120"/>
    <w:rsid w:val="00205534"/>
    <w:rsid w:val="00207744"/>
    <w:rsid w:val="00207FF3"/>
    <w:rsid w:val="0021197B"/>
    <w:rsid w:val="00212383"/>
    <w:rsid w:val="00213538"/>
    <w:rsid w:val="00213FF8"/>
    <w:rsid w:val="00214859"/>
    <w:rsid w:val="002148B9"/>
    <w:rsid w:val="002151B7"/>
    <w:rsid w:val="002159B2"/>
    <w:rsid w:val="00215AB8"/>
    <w:rsid w:val="00220401"/>
    <w:rsid w:val="002204F1"/>
    <w:rsid w:val="00220FB9"/>
    <w:rsid w:val="002211CB"/>
    <w:rsid w:val="00222374"/>
    <w:rsid w:val="0022263F"/>
    <w:rsid w:val="00222D9E"/>
    <w:rsid w:val="0022512C"/>
    <w:rsid w:val="0022564D"/>
    <w:rsid w:val="00227367"/>
    <w:rsid w:val="0023122F"/>
    <w:rsid w:val="0023281C"/>
    <w:rsid w:val="00232C1F"/>
    <w:rsid w:val="00234459"/>
    <w:rsid w:val="00235084"/>
    <w:rsid w:val="00235CB8"/>
    <w:rsid w:val="0023647B"/>
    <w:rsid w:val="002368FF"/>
    <w:rsid w:val="002407AA"/>
    <w:rsid w:val="00241DD3"/>
    <w:rsid w:val="00242F21"/>
    <w:rsid w:val="002439B0"/>
    <w:rsid w:val="00243BE8"/>
    <w:rsid w:val="00244041"/>
    <w:rsid w:val="0024470F"/>
    <w:rsid w:val="00245212"/>
    <w:rsid w:val="00246232"/>
    <w:rsid w:val="00247F88"/>
    <w:rsid w:val="0025029C"/>
    <w:rsid w:val="00250F2A"/>
    <w:rsid w:val="002515EE"/>
    <w:rsid w:val="00253765"/>
    <w:rsid w:val="002553AB"/>
    <w:rsid w:val="00255FB4"/>
    <w:rsid w:val="00256060"/>
    <w:rsid w:val="00256CFE"/>
    <w:rsid w:val="002601DC"/>
    <w:rsid w:val="002606FA"/>
    <w:rsid w:val="00260F94"/>
    <w:rsid w:val="002630A6"/>
    <w:rsid w:val="00263E05"/>
    <w:rsid w:val="0026405F"/>
    <w:rsid w:val="002659A5"/>
    <w:rsid w:val="00266F7B"/>
    <w:rsid w:val="0026751A"/>
    <w:rsid w:val="002676D4"/>
    <w:rsid w:val="00271E15"/>
    <w:rsid w:val="00271E62"/>
    <w:rsid w:val="0027285C"/>
    <w:rsid w:val="00272936"/>
    <w:rsid w:val="00276199"/>
    <w:rsid w:val="00276209"/>
    <w:rsid w:val="00281FF2"/>
    <w:rsid w:val="00283151"/>
    <w:rsid w:val="002839AE"/>
    <w:rsid w:val="002842B3"/>
    <w:rsid w:val="0028454C"/>
    <w:rsid w:val="00284670"/>
    <w:rsid w:val="0028469E"/>
    <w:rsid w:val="00285CCE"/>
    <w:rsid w:val="00285EA5"/>
    <w:rsid w:val="00287142"/>
    <w:rsid w:val="002915C2"/>
    <w:rsid w:val="00291869"/>
    <w:rsid w:val="00292492"/>
    <w:rsid w:val="002924EA"/>
    <w:rsid w:val="00292C6E"/>
    <w:rsid w:val="00293013"/>
    <w:rsid w:val="00293A60"/>
    <w:rsid w:val="00294460"/>
    <w:rsid w:val="00295063"/>
    <w:rsid w:val="002957F9"/>
    <w:rsid w:val="00295DA1"/>
    <w:rsid w:val="002967B8"/>
    <w:rsid w:val="00296B6A"/>
    <w:rsid w:val="00297AD4"/>
    <w:rsid w:val="002A05E4"/>
    <w:rsid w:val="002A18A8"/>
    <w:rsid w:val="002A28F6"/>
    <w:rsid w:val="002A3307"/>
    <w:rsid w:val="002A51D5"/>
    <w:rsid w:val="002A5B0C"/>
    <w:rsid w:val="002A62E2"/>
    <w:rsid w:val="002A676F"/>
    <w:rsid w:val="002A69C6"/>
    <w:rsid w:val="002B04B1"/>
    <w:rsid w:val="002B0B53"/>
    <w:rsid w:val="002B1DDF"/>
    <w:rsid w:val="002B43FC"/>
    <w:rsid w:val="002B55D8"/>
    <w:rsid w:val="002B68ED"/>
    <w:rsid w:val="002B76A2"/>
    <w:rsid w:val="002B7DB8"/>
    <w:rsid w:val="002C38EE"/>
    <w:rsid w:val="002C4268"/>
    <w:rsid w:val="002C47FF"/>
    <w:rsid w:val="002C5141"/>
    <w:rsid w:val="002C52F4"/>
    <w:rsid w:val="002C79C5"/>
    <w:rsid w:val="002D0B59"/>
    <w:rsid w:val="002D1205"/>
    <w:rsid w:val="002D23A9"/>
    <w:rsid w:val="002D25DF"/>
    <w:rsid w:val="002D26C2"/>
    <w:rsid w:val="002D3F3C"/>
    <w:rsid w:val="002D4EDC"/>
    <w:rsid w:val="002D54B3"/>
    <w:rsid w:val="002D5BC6"/>
    <w:rsid w:val="002D5E43"/>
    <w:rsid w:val="002D5ECE"/>
    <w:rsid w:val="002D6304"/>
    <w:rsid w:val="002D732C"/>
    <w:rsid w:val="002E0BAF"/>
    <w:rsid w:val="002E207C"/>
    <w:rsid w:val="002E3A74"/>
    <w:rsid w:val="002E3F9E"/>
    <w:rsid w:val="002E42B4"/>
    <w:rsid w:val="002E59C9"/>
    <w:rsid w:val="002E5EED"/>
    <w:rsid w:val="002E605C"/>
    <w:rsid w:val="002E6F0F"/>
    <w:rsid w:val="002E78BC"/>
    <w:rsid w:val="002F04ED"/>
    <w:rsid w:val="002F225A"/>
    <w:rsid w:val="002F26B7"/>
    <w:rsid w:val="002F2AF4"/>
    <w:rsid w:val="002F2C4C"/>
    <w:rsid w:val="002F2D5D"/>
    <w:rsid w:val="002F4483"/>
    <w:rsid w:val="002F56C1"/>
    <w:rsid w:val="002F59CB"/>
    <w:rsid w:val="002F5A02"/>
    <w:rsid w:val="002F5FD1"/>
    <w:rsid w:val="002F612E"/>
    <w:rsid w:val="002F6C3A"/>
    <w:rsid w:val="002F6E8C"/>
    <w:rsid w:val="002F76F9"/>
    <w:rsid w:val="002F7BDA"/>
    <w:rsid w:val="002F7D19"/>
    <w:rsid w:val="00300239"/>
    <w:rsid w:val="0030098D"/>
    <w:rsid w:val="003012C2"/>
    <w:rsid w:val="003015D3"/>
    <w:rsid w:val="00303456"/>
    <w:rsid w:val="003036B7"/>
    <w:rsid w:val="00303743"/>
    <w:rsid w:val="00305A86"/>
    <w:rsid w:val="00306C47"/>
    <w:rsid w:val="003079F1"/>
    <w:rsid w:val="003101A2"/>
    <w:rsid w:val="00310A0E"/>
    <w:rsid w:val="003114E5"/>
    <w:rsid w:val="00311924"/>
    <w:rsid w:val="0031199A"/>
    <w:rsid w:val="00312550"/>
    <w:rsid w:val="00312AE2"/>
    <w:rsid w:val="00312E87"/>
    <w:rsid w:val="0031345B"/>
    <w:rsid w:val="0031382D"/>
    <w:rsid w:val="00313872"/>
    <w:rsid w:val="003143E9"/>
    <w:rsid w:val="0031480A"/>
    <w:rsid w:val="00314900"/>
    <w:rsid w:val="00314BB4"/>
    <w:rsid w:val="00316087"/>
    <w:rsid w:val="00320CCD"/>
    <w:rsid w:val="00321204"/>
    <w:rsid w:val="0032319A"/>
    <w:rsid w:val="003245B9"/>
    <w:rsid w:val="003246CA"/>
    <w:rsid w:val="0032568E"/>
    <w:rsid w:val="00325F4C"/>
    <w:rsid w:val="00326A96"/>
    <w:rsid w:val="003308AE"/>
    <w:rsid w:val="00331777"/>
    <w:rsid w:val="00332381"/>
    <w:rsid w:val="00332C0A"/>
    <w:rsid w:val="00332F2B"/>
    <w:rsid w:val="00334C2C"/>
    <w:rsid w:val="00335E24"/>
    <w:rsid w:val="00336226"/>
    <w:rsid w:val="003364C4"/>
    <w:rsid w:val="003375B9"/>
    <w:rsid w:val="003407FF"/>
    <w:rsid w:val="00341540"/>
    <w:rsid w:val="00341829"/>
    <w:rsid w:val="003422A7"/>
    <w:rsid w:val="00342AC2"/>
    <w:rsid w:val="00343212"/>
    <w:rsid w:val="003439D1"/>
    <w:rsid w:val="00343DF6"/>
    <w:rsid w:val="00345044"/>
    <w:rsid w:val="003463DF"/>
    <w:rsid w:val="003472B3"/>
    <w:rsid w:val="0035097E"/>
    <w:rsid w:val="00350D50"/>
    <w:rsid w:val="00350E41"/>
    <w:rsid w:val="003523A0"/>
    <w:rsid w:val="00352670"/>
    <w:rsid w:val="00352932"/>
    <w:rsid w:val="003537E1"/>
    <w:rsid w:val="003544BF"/>
    <w:rsid w:val="003549AB"/>
    <w:rsid w:val="00354A9F"/>
    <w:rsid w:val="00354B68"/>
    <w:rsid w:val="00354DFD"/>
    <w:rsid w:val="00357801"/>
    <w:rsid w:val="003578D8"/>
    <w:rsid w:val="00357A3E"/>
    <w:rsid w:val="0036085A"/>
    <w:rsid w:val="00361DDD"/>
    <w:rsid w:val="00361E54"/>
    <w:rsid w:val="00362029"/>
    <w:rsid w:val="00362169"/>
    <w:rsid w:val="003631F0"/>
    <w:rsid w:val="003644CE"/>
    <w:rsid w:val="003646FD"/>
    <w:rsid w:val="003647A8"/>
    <w:rsid w:val="00364835"/>
    <w:rsid w:val="003660A6"/>
    <w:rsid w:val="003674BF"/>
    <w:rsid w:val="003675A4"/>
    <w:rsid w:val="00367675"/>
    <w:rsid w:val="00367ECA"/>
    <w:rsid w:val="00370428"/>
    <w:rsid w:val="003705CD"/>
    <w:rsid w:val="00373662"/>
    <w:rsid w:val="0037458F"/>
    <w:rsid w:val="00374855"/>
    <w:rsid w:val="00375D26"/>
    <w:rsid w:val="003761C9"/>
    <w:rsid w:val="003764DF"/>
    <w:rsid w:val="00376A5A"/>
    <w:rsid w:val="00376CDD"/>
    <w:rsid w:val="003775A5"/>
    <w:rsid w:val="00380305"/>
    <w:rsid w:val="003803C9"/>
    <w:rsid w:val="00381174"/>
    <w:rsid w:val="0038173E"/>
    <w:rsid w:val="003824B9"/>
    <w:rsid w:val="00382B0C"/>
    <w:rsid w:val="00383BB1"/>
    <w:rsid w:val="00383E58"/>
    <w:rsid w:val="0038498B"/>
    <w:rsid w:val="00385C37"/>
    <w:rsid w:val="003861CF"/>
    <w:rsid w:val="00387C85"/>
    <w:rsid w:val="00387D35"/>
    <w:rsid w:val="003917CD"/>
    <w:rsid w:val="00392233"/>
    <w:rsid w:val="003923A7"/>
    <w:rsid w:val="003927B0"/>
    <w:rsid w:val="00392B1F"/>
    <w:rsid w:val="0039307E"/>
    <w:rsid w:val="00393572"/>
    <w:rsid w:val="00393FF7"/>
    <w:rsid w:val="003940F8"/>
    <w:rsid w:val="003946B3"/>
    <w:rsid w:val="00395325"/>
    <w:rsid w:val="00396172"/>
    <w:rsid w:val="003964AC"/>
    <w:rsid w:val="00396711"/>
    <w:rsid w:val="00396ABB"/>
    <w:rsid w:val="003A03E2"/>
    <w:rsid w:val="003A1E52"/>
    <w:rsid w:val="003A3B2E"/>
    <w:rsid w:val="003A518A"/>
    <w:rsid w:val="003A52DA"/>
    <w:rsid w:val="003B04F7"/>
    <w:rsid w:val="003B0C0F"/>
    <w:rsid w:val="003B13B8"/>
    <w:rsid w:val="003B1916"/>
    <w:rsid w:val="003B1E64"/>
    <w:rsid w:val="003B2E8E"/>
    <w:rsid w:val="003B3382"/>
    <w:rsid w:val="003B50FE"/>
    <w:rsid w:val="003B5331"/>
    <w:rsid w:val="003B5A84"/>
    <w:rsid w:val="003B6BB6"/>
    <w:rsid w:val="003B7B78"/>
    <w:rsid w:val="003C16AD"/>
    <w:rsid w:val="003C1E13"/>
    <w:rsid w:val="003C22FD"/>
    <w:rsid w:val="003C2D85"/>
    <w:rsid w:val="003C3B42"/>
    <w:rsid w:val="003C4917"/>
    <w:rsid w:val="003D05EB"/>
    <w:rsid w:val="003D28EC"/>
    <w:rsid w:val="003D43C6"/>
    <w:rsid w:val="003D47DF"/>
    <w:rsid w:val="003D51A7"/>
    <w:rsid w:val="003D65B0"/>
    <w:rsid w:val="003D675E"/>
    <w:rsid w:val="003D682C"/>
    <w:rsid w:val="003D76A0"/>
    <w:rsid w:val="003E0E51"/>
    <w:rsid w:val="003E224C"/>
    <w:rsid w:val="003E3680"/>
    <w:rsid w:val="003E3BCA"/>
    <w:rsid w:val="003E418C"/>
    <w:rsid w:val="003E4506"/>
    <w:rsid w:val="003E5689"/>
    <w:rsid w:val="003E611F"/>
    <w:rsid w:val="003E67AE"/>
    <w:rsid w:val="003E71E9"/>
    <w:rsid w:val="003F01F9"/>
    <w:rsid w:val="003F0388"/>
    <w:rsid w:val="003F05F1"/>
    <w:rsid w:val="003F0993"/>
    <w:rsid w:val="003F0AEF"/>
    <w:rsid w:val="003F0C0C"/>
    <w:rsid w:val="003F134B"/>
    <w:rsid w:val="003F14C5"/>
    <w:rsid w:val="003F1CD8"/>
    <w:rsid w:val="003F2DCA"/>
    <w:rsid w:val="003F32AC"/>
    <w:rsid w:val="003F46AC"/>
    <w:rsid w:val="003F588E"/>
    <w:rsid w:val="003F6486"/>
    <w:rsid w:val="003F66B1"/>
    <w:rsid w:val="003F6F47"/>
    <w:rsid w:val="00401094"/>
    <w:rsid w:val="004051DF"/>
    <w:rsid w:val="00406041"/>
    <w:rsid w:val="004062EC"/>
    <w:rsid w:val="004064FA"/>
    <w:rsid w:val="0040770C"/>
    <w:rsid w:val="004125E3"/>
    <w:rsid w:val="00412DE1"/>
    <w:rsid w:val="00412FD4"/>
    <w:rsid w:val="004130BA"/>
    <w:rsid w:val="004131F3"/>
    <w:rsid w:val="00413BD0"/>
    <w:rsid w:val="00413C9C"/>
    <w:rsid w:val="00414108"/>
    <w:rsid w:val="00415465"/>
    <w:rsid w:val="00415E27"/>
    <w:rsid w:val="004167DD"/>
    <w:rsid w:val="00416EA2"/>
    <w:rsid w:val="00417234"/>
    <w:rsid w:val="004179E9"/>
    <w:rsid w:val="00417A35"/>
    <w:rsid w:val="004200F1"/>
    <w:rsid w:val="00421A3B"/>
    <w:rsid w:val="00421CB6"/>
    <w:rsid w:val="00421D06"/>
    <w:rsid w:val="00422765"/>
    <w:rsid w:val="004227AD"/>
    <w:rsid w:val="00422AC6"/>
    <w:rsid w:val="00426367"/>
    <w:rsid w:val="00427937"/>
    <w:rsid w:val="004300F7"/>
    <w:rsid w:val="00430A40"/>
    <w:rsid w:val="004316AD"/>
    <w:rsid w:val="00432898"/>
    <w:rsid w:val="00432969"/>
    <w:rsid w:val="004329C4"/>
    <w:rsid w:val="00432B26"/>
    <w:rsid w:val="00432DEB"/>
    <w:rsid w:val="00434BFA"/>
    <w:rsid w:val="0043680B"/>
    <w:rsid w:val="00437085"/>
    <w:rsid w:val="00441839"/>
    <w:rsid w:val="00441C12"/>
    <w:rsid w:val="00442426"/>
    <w:rsid w:val="00442F14"/>
    <w:rsid w:val="00443040"/>
    <w:rsid w:val="004438C0"/>
    <w:rsid w:val="00444C65"/>
    <w:rsid w:val="00445194"/>
    <w:rsid w:val="0044533D"/>
    <w:rsid w:val="00446A32"/>
    <w:rsid w:val="00446BDE"/>
    <w:rsid w:val="00446EE3"/>
    <w:rsid w:val="00447062"/>
    <w:rsid w:val="00447297"/>
    <w:rsid w:val="00447DCB"/>
    <w:rsid w:val="00450973"/>
    <w:rsid w:val="00450B13"/>
    <w:rsid w:val="00450D60"/>
    <w:rsid w:val="004515B2"/>
    <w:rsid w:val="00453DAF"/>
    <w:rsid w:val="00454035"/>
    <w:rsid w:val="00454A82"/>
    <w:rsid w:val="00455423"/>
    <w:rsid w:val="00455E32"/>
    <w:rsid w:val="0045665A"/>
    <w:rsid w:val="004571D4"/>
    <w:rsid w:val="00460699"/>
    <w:rsid w:val="004607ED"/>
    <w:rsid w:val="004608B0"/>
    <w:rsid w:val="00460F4F"/>
    <w:rsid w:val="004614E9"/>
    <w:rsid w:val="00461822"/>
    <w:rsid w:val="00461C0D"/>
    <w:rsid w:val="00461D0D"/>
    <w:rsid w:val="00461DD5"/>
    <w:rsid w:val="00461F0C"/>
    <w:rsid w:val="004626A1"/>
    <w:rsid w:val="004630A3"/>
    <w:rsid w:val="004637A9"/>
    <w:rsid w:val="00463A17"/>
    <w:rsid w:val="00464040"/>
    <w:rsid w:val="004643F1"/>
    <w:rsid w:val="00464D44"/>
    <w:rsid w:val="00465E23"/>
    <w:rsid w:val="004662DC"/>
    <w:rsid w:val="0047031B"/>
    <w:rsid w:val="00470329"/>
    <w:rsid w:val="0047110A"/>
    <w:rsid w:val="004722BC"/>
    <w:rsid w:val="0047548A"/>
    <w:rsid w:val="0047741D"/>
    <w:rsid w:val="0048040C"/>
    <w:rsid w:val="00481037"/>
    <w:rsid w:val="00481D13"/>
    <w:rsid w:val="004828BC"/>
    <w:rsid w:val="00483D53"/>
    <w:rsid w:val="00484273"/>
    <w:rsid w:val="004847CB"/>
    <w:rsid w:val="00484F97"/>
    <w:rsid w:val="0048525D"/>
    <w:rsid w:val="004856D0"/>
    <w:rsid w:val="00490421"/>
    <w:rsid w:val="004912A7"/>
    <w:rsid w:val="00492C5B"/>
    <w:rsid w:val="00492FDD"/>
    <w:rsid w:val="00493312"/>
    <w:rsid w:val="00493326"/>
    <w:rsid w:val="004950F8"/>
    <w:rsid w:val="004A112F"/>
    <w:rsid w:val="004A16EB"/>
    <w:rsid w:val="004A1998"/>
    <w:rsid w:val="004A1E9B"/>
    <w:rsid w:val="004A23EA"/>
    <w:rsid w:val="004A2E07"/>
    <w:rsid w:val="004A3567"/>
    <w:rsid w:val="004A40AB"/>
    <w:rsid w:val="004A4BD1"/>
    <w:rsid w:val="004A521E"/>
    <w:rsid w:val="004A5C55"/>
    <w:rsid w:val="004A6225"/>
    <w:rsid w:val="004A667C"/>
    <w:rsid w:val="004A690D"/>
    <w:rsid w:val="004A71C6"/>
    <w:rsid w:val="004B0146"/>
    <w:rsid w:val="004B06F4"/>
    <w:rsid w:val="004B180A"/>
    <w:rsid w:val="004B18A3"/>
    <w:rsid w:val="004B1F46"/>
    <w:rsid w:val="004B2D01"/>
    <w:rsid w:val="004B312C"/>
    <w:rsid w:val="004B3514"/>
    <w:rsid w:val="004B4FB4"/>
    <w:rsid w:val="004B55FB"/>
    <w:rsid w:val="004B5E90"/>
    <w:rsid w:val="004B7084"/>
    <w:rsid w:val="004B712C"/>
    <w:rsid w:val="004B722A"/>
    <w:rsid w:val="004B7FAF"/>
    <w:rsid w:val="004C1D4F"/>
    <w:rsid w:val="004C1D51"/>
    <w:rsid w:val="004C4221"/>
    <w:rsid w:val="004C4C5C"/>
    <w:rsid w:val="004C6DE2"/>
    <w:rsid w:val="004D00C2"/>
    <w:rsid w:val="004D051B"/>
    <w:rsid w:val="004D0893"/>
    <w:rsid w:val="004D0B6A"/>
    <w:rsid w:val="004D2A1B"/>
    <w:rsid w:val="004D555B"/>
    <w:rsid w:val="004D7D4C"/>
    <w:rsid w:val="004E1146"/>
    <w:rsid w:val="004E138F"/>
    <w:rsid w:val="004E2346"/>
    <w:rsid w:val="004E38B4"/>
    <w:rsid w:val="004E4172"/>
    <w:rsid w:val="004E458F"/>
    <w:rsid w:val="004E4AD9"/>
    <w:rsid w:val="004E55FA"/>
    <w:rsid w:val="004F056B"/>
    <w:rsid w:val="004F1717"/>
    <w:rsid w:val="004F1AC6"/>
    <w:rsid w:val="004F21E6"/>
    <w:rsid w:val="004F30F9"/>
    <w:rsid w:val="004F4939"/>
    <w:rsid w:val="004F4B70"/>
    <w:rsid w:val="004F529F"/>
    <w:rsid w:val="004F5E68"/>
    <w:rsid w:val="004F695B"/>
    <w:rsid w:val="005013D2"/>
    <w:rsid w:val="00501E27"/>
    <w:rsid w:val="005025F3"/>
    <w:rsid w:val="00502ED1"/>
    <w:rsid w:val="0050425C"/>
    <w:rsid w:val="005059F5"/>
    <w:rsid w:val="00506BA6"/>
    <w:rsid w:val="005078C9"/>
    <w:rsid w:val="00507CE6"/>
    <w:rsid w:val="00510003"/>
    <w:rsid w:val="00512168"/>
    <w:rsid w:val="005123EB"/>
    <w:rsid w:val="005129B0"/>
    <w:rsid w:val="00512DB2"/>
    <w:rsid w:val="0051332D"/>
    <w:rsid w:val="005133A7"/>
    <w:rsid w:val="005143B5"/>
    <w:rsid w:val="00514ED7"/>
    <w:rsid w:val="00514F85"/>
    <w:rsid w:val="00515F80"/>
    <w:rsid w:val="0051619C"/>
    <w:rsid w:val="005164B3"/>
    <w:rsid w:val="005164DA"/>
    <w:rsid w:val="005164E5"/>
    <w:rsid w:val="005165F4"/>
    <w:rsid w:val="00517CE4"/>
    <w:rsid w:val="005212C2"/>
    <w:rsid w:val="0052201F"/>
    <w:rsid w:val="00523A3D"/>
    <w:rsid w:val="00523CC2"/>
    <w:rsid w:val="00523F19"/>
    <w:rsid w:val="0052463C"/>
    <w:rsid w:val="00524AFF"/>
    <w:rsid w:val="00524B98"/>
    <w:rsid w:val="005257AD"/>
    <w:rsid w:val="005273EF"/>
    <w:rsid w:val="0053072C"/>
    <w:rsid w:val="00530FF2"/>
    <w:rsid w:val="00531DC5"/>
    <w:rsid w:val="005323A7"/>
    <w:rsid w:val="005327A7"/>
    <w:rsid w:val="00532BAA"/>
    <w:rsid w:val="005335F9"/>
    <w:rsid w:val="005343AD"/>
    <w:rsid w:val="005343C6"/>
    <w:rsid w:val="00535E4E"/>
    <w:rsid w:val="005363FA"/>
    <w:rsid w:val="00536C1C"/>
    <w:rsid w:val="00537093"/>
    <w:rsid w:val="0053717E"/>
    <w:rsid w:val="00537E8E"/>
    <w:rsid w:val="005402EA"/>
    <w:rsid w:val="0054080A"/>
    <w:rsid w:val="0054189F"/>
    <w:rsid w:val="00541BC0"/>
    <w:rsid w:val="0054344F"/>
    <w:rsid w:val="00543586"/>
    <w:rsid w:val="0054370C"/>
    <w:rsid w:val="005438DD"/>
    <w:rsid w:val="0054417C"/>
    <w:rsid w:val="00544654"/>
    <w:rsid w:val="00544940"/>
    <w:rsid w:val="00544E75"/>
    <w:rsid w:val="00545DF7"/>
    <w:rsid w:val="00546234"/>
    <w:rsid w:val="00546449"/>
    <w:rsid w:val="00550C9D"/>
    <w:rsid w:val="00552C0E"/>
    <w:rsid w:val="00553049"/>
    <w:rsid w:val="005551B3"/>
    <w:rsid w:val="0055544F"/>
    <w:rsid w:val="005554C1"/>
    <w:rsid w:val="00556617"/>
    <w:rsid w:val="0055671C"/>
    <w:rsid w:val="00556E4E"/>
    <w:rsid w:val="005570B8"/>
    <w:rsid w:val="005578BF"/>
    <w:rsid w:val="0056129A"/>
    <w:rsid w:val="005653E0"/>
    <w:rsid w:val="005661FC"/>
    <w:rsid w:val="0056761E"/>
    <w:rsid w:val="00567723"/>
    <w:rsid w:val="00570DBB"/>
    <w:rsid w:val="00571B15"/>
    <w:rsid w:val="00571EBD"/>
    <w:rsid w:val="00571FCA"/>
    <w:rsid w:val="00573143"/>
    <w:rsid w:val="00576390"/>
    <w:rsid w:val="00576436"/>
    <w:rsid w:val="0057760E"/>
    <w:rsid w:val="00577F9F"/>
    <w:rsid w:val="00580769"/>
    <w:rsid w:val="0058115C"/>
    <w:rsid w:val="0058248B"/>
    <w:rsid w:val="005848E0"/>
    <w:rsid w:val="00584958"/>
    <w:rsid w:val="005850BE"/>
    <w:rsid w:val="005853EC"/>
    <w:rsid w:val="00585803"/>
    <w:rsid w:val="0058671E"/>
    <w:rsid w:val="00587364"/>
    <w:rsid w:val="0058742A"/>
    <w:rsid w:val="00587C89"/>
    <w:rsid w:val="00590D3B"/>
    <w:rsid w:val="00590FB9"/>
    <w:rsid w:val="00591421"/>
    <w:rsid w:val="00593119"/>
    <w:rsid w:val="00593BEF"/>
    <w:rsid w:val="00593C36"/>
    <w:rsid w:val="00594481"/>
    <w:rsid w:val="00594538"/>
    <w:rsid w:val="00595268"/>
    <w:rsid w:val="0059665B"/>
    <w:rsid w:val="00597149"/>
    <w:rsid w:val="005976A2"/>
    <w:rsid w:val="005978AD"/>
    <w:rsid w:val="005979B7"/>
    <w:rsid w:val="00597A3C"/>
    <w:rsid w:val="00597A81"/>
    <w:rsid w:val="005A0E5A"/>
    <w:rsid w:val="005A1726"/>
    <w:rsid w:val="005A317A"/>
    <w:rsid w:val="005A3FDF"/>
    <w:rsid w:val="005A418C"/>
    <w:rsid w:val="005A57F6"/>
    <w:rsid w:val="005A63AE"/>
    <w:rsid w:val="005B1B71"/>
    <w:rsid w:val="005B1FF5"/>
    <w:rsid w:val="005B204C"/>
    <w:rsid w:val="005B2FBD"/>
    <w:rsid w:val="005B3804"/>
    <w:rsid w:val="005B50B7"/>
    <w:rsid w:val="005B626F"/>
    <w:rsid w:val="005B67DA"/>
    <w:rsid w:val="005B70D1"/>
    <w:rsid w:val="005C00B7"/>
    <w:rsid w:val="005C02ED"/>
    <w:rsid w:val="005C0FA8"/>
    <w:rsid w:val="005C20FB"/>
    <w:rsid w:val="005C289A"/>
    <w:rsid w:val="005C2A1D"/>
    <w:rsid w:val="005C3DEA"/>
    <w:rsid w:val="005C4745"/>
    <w:rsid w:val="005C5A64"/>
    <w:rsid w:val="005C5B71"/>
    <w:rsid w:val="005C5B8D"/>
    <w:rsid w:val="005C65E3"/>
    <w:rsid w:val="005C783D"/>
    <w:rsid w:val="005C78A3"/>
    <w:rsid w:val="005C7BD1"/>
    <w:rsid w:val="005C7CFA"/>
    <w:rsid w:val="005D12D5"/>
    <w:rsid w:val="005D15A4"/>
    <w:rsid w:val="005D1C07"/>
    <w:rsid w:val="005D3C0A"/>
    <w:rsid w:val="005D3CBA"/>
    <w:rsid w:val="005D424A"/>
    <w:rsid w:val="005D47B5"/>
    <w:rsid w:val="005D4C1D"/>
    <w:rsid w:val="005D4D8A"/>
    <w:rsid w:val="005D501A"/>
    <w:rsid w:val="005D6A83"/>
    <w:rsid w:val="005D7127"/>
    <w:rsid w:val="005E10B7"/>
    <w:rsid w:val="005E149F"/>
    <w:rsid w:val="005E14EC"/>
    <w:rsid w:val="005E1A8B"/>
    <w:rsid w:val="005E209D"/>
    <w:rsid w:val="005E2F47"/>
    <w:rsid w:val="005E4713"/>
    <w:rsid w:val="005E4919"/>
    <w:rsid w:val="005E4A15"/>
    <w:rsid w:val="005E58FE"/>
    <w:rsid w:val="005E5A60"/>
    <w:rsid w:val="005E5DD7"/>
    <w:rsid w:val="005E60EA"/>
    <w:rsid w:val="005E6925"/>
    <w:rsid w:val="005E6973"/>
    <w:rsid w:val="005E6C89"/>
    <w:rsid w:val="005E6EEC"/>
    <w:rsid w:val="005E6F13"/>
    <w:rsid w:val="005E7D68"/>
    <w:rsid w:val="005F0123"/>
    <w:rsid w:val="005F06C1"/>
    <w:rsid w:val="005F08DC"/>
    <w:rsid w:val="005F0A71"/>
    <w:rsid w:val="005F1F7C"/>
    <w:rsid w:val="005F2BBD"/>
    <w:rsid w:val="005F39D9"/>
    <w:rsid w:val="005F419A"/>
    <w:rsid w:val="005F61C1"/>
    <w:rsid w:val="005F6262"/>
    <w:rsid w:val="0060069B"/>
    <w:rsid w:val="00600BEF"/>
    <w:rsid w:val="00603442"/>
    <w:rsid w:val="006043D2"/>
    <w:rsid w:val="006049FC"/>
    <w:rsid w:val="00604ABB"/>
    <w:rsid w:val="006056B3"/>
    <w:rsid w:val="0060714C"/>
    <w:rsid w:val="006074F7"/>
    <w:rsid w:val="0061031B"/>
    <w:rsid w:val="006117E7"/>
    <w:rsid w:val="00611F19"/>
    <w:rsid w:val="00612573"/>
    <w:rsid w:val="0061333F"/>
    <w:rsid w:val="006135E1"/>
    <w:rsid w:val="00614726"/>
    <w:rsid w:val="00615103"/>
    <w:rsid w:val="00617076"/>
    <w:rsid w:val="00620505"/>
    <w:rsid w:val="00621176"/>
    <w:rsid w:val="006212A1"/>
    <w:rsid w:val="00621323"/>
    <w:rsid w:val="00621FC6"/>
    <w:rsid w:val="006222B9"/>
    <w:rsid w:val="0062261C"/>
    <w:rsid w:val="00622A3B"/>
    <w:rsid w:val="00623B81"/>
    <w:rsid w:val="00624AE3"/>
    <w:rsid w:val="00626047"/>
    <w:rsid w:val="006264D1"/>
    <w:rsid w:val="00626D38"/>
    <w:rsid w:val="0062706B"/>
    <w:rsid w:val="0062774A"/>
    <w:rsid w:val="00627FE0"/>
    <w:rsid w:val="00627FFD"/>
    <w:rsid w:val="0063010D"/>
    <w:rsid w:val="006312BA"/>
    <w:rsid w:val="00631A7D"/>
    <w:rsid w:val="00631E24"/>
    <w:rsid w:val="00632025"/>
    <w:rsid w:val="0063206E"/>
    <w:rsid w:val="00633AAD"/>
    <w:rsid w:val="00634AC5"/>
    <w:rsid w:val="00635E0A"/>
    <w:rsid w:val="006363EC"/>
    <w:rsid w:val="006404C1"/>
    <w:rsid w:val="00640D6F"/>
    <w:rsid w:val="00641999"/>
    <w:rsid w:val="0064287D"/>
    <w:rsid w:val="00642CD7"/>
    <w:rsid w:val="00643D26"/>
    <w:rsid w:val="00643D5C"/>
    <w:rsid w:val="006443F0"/>
    <w:rsid w:val="006448A2"/>
    <w:rsid w:val="00644D64"/>
    <w:rsid w:val="00645DA4"/>
    <w:rsid w:val="00647A82"/>
    <w:rsid w:val="006513C7"/>
    <w:rsid w:val="0065141A"/>
    <w:rsid w:val="00653A5D"/>
    <w:rsid w:val="00654292"/>
    <w:rsid w:val="0065468D"/>
    <w:rsid w:val="00654E3D"/>
    <w:rsid w:val="00656A6B"/>
    <w:rsid w:val="00656FB7"/>
    <w:rsid w:val="0065703D"/>
    <w:rsid w:val="00657564"/>
    <w:rsid w:val="00657BF1"/>
    <w:rsid w:val="006603FF"/>
    <w:rsid w:val="0066082A"/>
    <w:rsid w:val="006608A3"/>
    <w:rsid w:val="00660981"/>
    <w:rsid w:val="00660F6D"/>
    <w:rsid w:val="006617BC"/>
    <w:rsid w:val="006639E9"/>
    <w:rsid w:val="00664931"/>
    <w:rsid w:val="0066522A"/>
    <w:rsid w:val="006657BC"/>
    <w:rsid w:val="00666C58"/>
    <w:rsid w:val="00667533"/>
    <w:rsid w:val="00671117"/>
    <w:rsid w:val="00672B1B"/>
    <w:rsid w:val="006732D6"/>
    <w:rsid w:val="00673A77"/>
    <w:rsid w:val="00674793"/>
    <w:rsid w:val="0067544E"/>
    <w:rsid w:val="0067568E"/>
    <w:rsid w:val="006761F0"/>
    <w:rsid w:val="0067621A"/>
    <w:rsid w:val="0067632B"/>
    <w:rsid w:val="00676D36"/>
    <w:rsid w:val="0068018A"/>
    <w:rsid w:val="00684997"/>
    <w:rsid w:val="00685ED3"/>
    <w:rsid w:val="00686056"/>
    <w:rsid w:val="006863C9"/>
    <w:rsid w:val="00686846"/>
    <w:rsid w:val="00686A1A"/>
    <w:rsid w:val="00687205"/>
    <w:rsid w:val="0069090A"/>
    <w:rsid w:val="006918ED"/>
    <w:rsid w:val="00692337"/>
    <w:rsid w:val="00692BDD"/>
    <w:rsid w:val="00693946"/>
    <w:rsid w:val="006940C9"/>
    <w:rsid w:val="00694226"/>
    <w:rsid w:val="00694F44"/>
    <w:rsid w:val="00695412"/>
    <w:rsid w:val="00695746"/>
    <w:rsid w:val="0069618B"/>
    <w:rsid w:val="0069775F"/>
    <w:rsid w:val="00697996"/>
    <w:rsid w:val="00697CC2"/>
    <w:rsid w:val="006A0234"/>
    <w:rsid w:val="006A1161"/>
    <w:rsid w:val="006A4AEC"/>
    <w:rsid w:val="006A5779"/>
    <w:rsid w:val="006A5E81"/>
    <w:rsid w:val="006A671C"/>
    <w:rsid w:val="006A6B0C"/>
    <w:rsid w:val="006B03D6"/>
    <w:rsid w:val="006B1DEC"/>
    <w:rsid w:val="006B2203"/>
    <w:rsid w:val="006B2BE8"/>
    <w:rsid w:val="006B2F28"/>
    <w:rsid w:val="006B3ABE"/>
    <w:rsid w:val="006B46A9"/>
    <w:rsid w:val="006B7A0C"/>
    <w:rsid w:val="006B7AE0"/>
    <w:rsid w:val="006C1A3C"/>
    <w:rsid w:val="006C2CE3"/>
    <w:rsid w:val="006C4202"/>
    <w:rsid w:val="006C4448"/>
    <w:rsid w:val="006C5A8F"/>
    <w:rsid w:val="006C6422"/>
    <w:rsid w:val="006C6508"/>
    <w:rsid w:val="006C6CB9"/>
    <w:rsid w:val="006C7183"/>
    <w:rsid w:val="006C7953"/>
    <w:rsid w:val="006D1115"/>
    <w:rsid w:val="006D2509"/>
    <w:rsid w:val="006D26C0"/>
    <w:rsid w:val="006D2F06"/>
    <w:rsid w:val="006D3396"/>
    <w:rsid w:val="006D3660"/>
    <w:rsid w:val="006D42E3"/>
    <w:rsid w:val="006D48F4"/>
    <w:rsid w:val="006D4FBA"/>
    <w:rsid w:val="006D548C"/>
    <w:rsid w:val="006D56E2"/>
    <w:rsid w:val="006D5716"/>
    <w:rsid w:val="006D601E"/>
    <w:rsid w:val="006D6551"/>
    <w:rsid w:val="006D6C30"/>
    <w:rsid w:val="006D6DBA"/>
    <w:rsid w:val="006D7741"/>
    <w:rsid w:val="006E0278"/>
    <w:rsid w:val="006E15DC"/>
    <w:rsid w:val="006E1DF1"/>
    <w:rsid w:val="006E2B37"/>
    <w:rsid w:val="006E3010"/>
    <w:rsid w:val="006E3206"/>
    <w:rsid w:val="006E42A6"/>
    <w:rsid w:val="006E4705"/>
    <w:rsid w:val="006E4E56"/>
    <w:rsid w:val="006E5083"/>
    <w:rsid w:val="006E5701"/>
    <w:rsid w:val="006E575E"/>
    <w:rsid w:val="006E69C0"/>
    <w:rsid w:val="006E6CEF"/>
    <w:rsid w:val="006E70D3"/>
    <w:rsid w:val="006E72D9"/>
    <w:rsid w:val="006F0BE9"/>
    <w:rsid w:val="006F1677"/>
    <w:rsid w:val="006F1DE7"/>
    <w:rsid w:val="006F26DF"/>
    <w:rsid w:val="006F31F1"/>
    <w:rsid w:val="006F3B3C"/>
    <w:rsid w:val="006F3E69"/>
    <w:rsid w:val="006F58EB"/>
    <w:rsid w:val="006F5993"/>
    <w:rsid w:val="006F6CBB"/>
    <w:rsid w:val="006F6F5E"/>
    <w:rsid w:val="006F7E0F"/>
    <w:rsid w:val="007001A3"/>
    <w:rsid w:val="00700CB2"/>
    <w:rsid w:val="00702483"/>
    <w:rsid w:val="00702C9C"/>
    <w:rsid w:val="00703170"/>
    <w:rsid w:val="0070376E"/>
    <w:rsid w:val="007039E4"/>
    <w:rsid w:val="00704D28"/>
    <w:rsid w:val="00704EC9"/>
    <w:rsid w:val="00704F42"/>
    <w:rsid w:val="00706113"/>
    <w:rsid w:val="00706385"/>
    <w:rsid w:val="00707FCD"/>
    <w:rsid w:val="007115CF"/>
    <w:rsid w:val="00712101"/>
    <w:rsid w:val="007125FB"/>
    <w:rsid w:val="00714025"/>
    <w:rsid w:val="007155F7"/>
    <w:rsid w:val="0071739A"/>
    <w:rsid w:val="00717609"/>
    <w:rsid w:val="00720D22"/>
    <w:rsid w:val="0072131A"/>
    <w:rsid w:val="007213B7"/>
    <w:rsid w:val="007215CA"/>
    <w:rsid w:val="00722B25"/>
    <w:rsid w:val="00723264"/>
    <w:rsid w:val="00723712"/>
    <w:rsid w:val="00723721"/>
    <w:rsid w:val="0072461E"/>
    <w:rsid w:val="00726A5A"/>
    <w:rsid w:val="00726F6F"/>
    <w:rsid w:val="0073045A"/>
    <w:rsid w:val="00730F7C"/>
    <w:rsid w:val="007315B2"/>
    <w:rsid w:val="00731BB3"/>
    <w:rsid w:val="007320CD"/>
    <w:rsid w:val="00733C18"/>
    <w:rsid w:val="007354D2"/>
    <w:rsid w:val="007354E5"/>
    <w:rsid w:val="00735CC9"/>
    <w:rsid w:val="00737D35"/>
    <w:rsid w:val="00740D3F"/>
    <w:rsid w:val="00740F2A"/>
    <w:rsid w:val="00741DDD"/>
    <w:rsid w:val="007435F4"/>
    <w:rsid w:val="00743D7B"/>
    <w:rsid w:val="00745B6B"/>
    <w:rsid w:val="00745C4D"/>
    <w:rsid w:val="0074665F"/>
    <w:rsid w:val="00747AB6"/>
    <w:rsid w:val="00747D60"/>
    <w:rsid w:val="00750808"/>
    <w:rsid w:val="007509DB"/>
    <w:rsid w:val="00752F7D"/>
    <w:rsid w:val="00753C86"/>
    <w:rsid w:val="00755448"/>
    <w:rsid w:val="00755BEA"/>
    <w:rsid w:val="0075687F"/>
    <w:rsid w:val="00756B72"/>
    <w:rsid w:val="0075784C"/>
    <w:rsid w:val="00757997"/>
    <w:rsid w:val="00757C3C"/>
    <w:rsid w:val="00760263"/>
    <w:rsid w:val="00760CBB"/>
    <w:rsid w:val="007614CF"/>
    <w:rsid w:val="00761836"/>
    <w:rsid w:val="007620A3"/>
    <w:rsid w:val="00762A44"/>
    <w:rsid w:val="00763031"/>
    <w:rsid w:val="00764BD2"/>
    <w:rsid w:val="007651E9"/>
    <w:rsid w:val="00765585"/>
    <w:rsid w:val="007712D5"/>
    <w:rsid w:val="007725AA"/>
    <w:rsid w:val="00774336"/>
    <w:rsid w:val="00774A97"/>
    <w:rsid w:val="00774F60"/>
    <w:rsid w:val="00776943"/>
    <w:rsid w:val="0077694A"/>
    <w:rsid w:val="00776CD5"/>
    <w:rsid w:val="00777AD3"/>
    <w:rsid w:val="00777B5D"/>
    <w:rsid w:val="00777FCF"/>
    <w:rsid w:val="00780F35"/>
    <w:rsid w:val="00781EFA"/>
    <w:rsid w:val="00782453"/>
    <w:rsid w:val="0078286A"/>
    <w:rsid w:val="00782CF2"/>
    <w:rsid w:val="007837CF"/>
    <w:rsid w:val="00784AEE"/>
    <w:rsid w:val="00784E20"/>
    <w:rsid w:val="00784FB6"/>
    <w:rsid w:val="00785372"/>
    <w:rsid w:val="007853D5"/>
    <w:rsid w:val="0078567B"/>
    <w:rsid w:val="0078597F"/>
    <w:rsid w:val="00785C81"/>
    <w:rsid w:val="00786317"/>
    <w:rsid w:val="0078650F"/>
    <w:rsid w:val="00786C32"/>
    <w:rsid w:val="00786E78"/>
    <w:rsid w:val="00787133"/>
    <w:rsid w:val="00787EF9"/>
    <w:rsid w:val="00790891"/>
    <w:rsid w:val="00794EBE"/>
    <w:rsid w:val="007951BD"/>
    <w:rsid w:val="00795C13"/>
    <w:rsid w:val="00795D04"/>
    <w:rsid w:val="00796BF1"/>
    <w:rsid w:val="00796BF6"/>
    <w:rsid w:val="00796D16"/>
    <w:rsid w:val="007970EC"/>
    <w:rsid w:val="0079775D"/>
    <w:rsid w:val="00797829"/>
    <w:rsid w:val="00797A2C"/>
    <w:rsid w:val="00797CED"/>
    <w:rsid w:val="007A00AC"/>
    <w:rsid w:val="007A06C6"/>
    <w:rsid w:val="007A0A60"/>
    <w:rsid w:val="007A4398"/>
    <w:rsid w:val="007A491A"/>
    <w:rsid w:val="007A5227"/>
    <w:rsid w:val="007A5390"/>
    <w:rsid w:val="007B0765"/>
    <w:rsid w:val="007B0EE8"/>
    <w:rsid w:val="007B10FC"/>
    <w:rsid w:val="007B19E7"/>
    <w:rsid w:val="007B38D0"/>
    <w:rsid w:val="007B46F5"/>
    <w:rsid w:val="007B4FD1"/>
    <w:rsid w:val="007B676A"/>
    <w:rsid w:val="007B68A0"/>
    <w:rsid w:val="007C181D"/>
    <w:rsid w:val="007C18B8"/>
    <w:rsid w:val="007C1924"/>
    <w:rsid w:val="007C1A3F"/>
    <w:rsid w:val="007C1AA9"/>
    <w:rsid w:val="007C24B1"/>
    <w:rsid w:val="007C3097"/>
    <w:rsid w:val="007C32C3"/>
    <w:rsid w:val="007C45F4"/>
    <w:rsid w:val="007C4824"/>
    <w:rsid w:val="007C4D07"/>
    <w:rsid w:val="007C68D9"/>
    <w:rsid w:val="007C6D5E"/>
    <w:rsid w:val="007C6E2F"/>
    <w:rsid w:val="007D011F"/>
    <w:rsid w:val="007D1E9D"/>
    <w:rsid w:val="007D2216"/>
    <w:rsid w:val="007D222E"/>
    <w:rsid w:val="007D2539"/>
    <w:rsid w:val="007D2CFE"/>
    <w:rsid w:val="007D3840"/>
    <w:rsid w:val="007D418C"/>
    <w:rsid w:val="007D706D"/>
    <w:rsid w:val="007D7789"/>
    <w:rsid w:val="007E1588"/>
    <w:rsid w:val="007E28D2"/>
    <w:rsid w:val="007E3641"/>
    <w:rsid w:val="007E3A74"/>
    <w:rsid w:val="007E3DF8"/>
    <w:rsid w:val="007E51F9"/>
    <w:rsid w:val="007E53FD"/>
    <w:rsid w:val="007E5FD7"/>
    <w:rsid w:val="007E610A"/>
    <w:rsid w:val="007E76F6"/>
    <w:rsid w:val="007F0EDA"/>
    <w:rsid w:val="007F0FD3"/>
    <w:rsid w:val="007F2AC0"/>
    <w:rsid w:val="007F2CF7"/>
    <w:rsid w:val="007F4DFE"/>
    <w:rsid w:val="007F4E33"/>
    <w:rsid w:val="007F584A"/>
    <w:rsid w:val="007F6740"/>
    <w:rsid w:val="007F6D28"/>
    <w:rsid w:val="007F74CE"/>
    <w:rsid w:val="007F75E1"/>
    <w:rsid w:val="0080006A"/>
    <w:rsid w:val="0080051A"/>
    <w:rsid w:val="00800894"/>
    <w:rsid w:val="008019BF"/>
    <w:rsid w:val="0080228C"/>
    <w:rsid w:val="008024BB"/>
    <w:rsid w:val="008024D6"/>
    <w:rsid w:val="00802D6A"/>
    <w:rsid w:val="00803B43"/>
    <w:rsid w:val="00804592"/>
    <w:rsid w:val="008052C1"/>
    <w:rsid w:val="008148B8"/>
    <w:rsid w:val="00814D4A"/>
    <w:rsid w:val="00815737"/>
    <w:rsid w:val="0081657E"/>
    <w:rsid w:val="00816FB1"/>
    <w:rsid w:val="00817286"/>
    <w:rsid w:val="00817C49"/>
    <w:rsid w:val="008206E7"/>
    <w:rsid w:val="00820ACE"/>
    <w:rsid w:val="00820C60"/>
    <w:rsid w:val="008218CC"/>
    <w:rsid w:val="0082282C"/>
    <w:rsid w:val="008228FC"/>
    <w:rsid w:val="00822F47"/>
    <w:rsid w:val="008242FE"/>
    <w:rsid w:val="0082493F"/>
    <w:rsid w:val="00824C46"/>
    <w:rsid w:val="00826C8F"/>
    <w:rsid w:val="008277C4"/>
    <w:rsid w:val="00830B42"/>
    <w:rsid w:val="00830B62"/>
    <w:rsid w:val="0083154B"/>
    <w:rsid w:val="0083162D"/>
    <w:rsid w:val="00832592"/>
    <w:rsid w:val="00832717"/>
    <w:rsid w:val="008334FF"/>
    <w:rsid w:val="00833A1B"/>
    <w:rsid w:val="00835A2F"/>
    <w:rsid w:val="0083676E"/>
    <w:rsid w:val="008379D2"/>
    <w:rsid w:val="0084095F"/>
    <w:rsid w:val="00840C10"/>
    <w:rsid w:val="008413D6"/>
    <w:rsid w:val="00843000"/>
    <w:rsid w:val="00843060"/>
    <w:rsid w:val="00843AC4"/>
    <w:rsid w:val="00845C23"/>
    <w:rsid w:val="00846120"/>
    <w:rsid w:val="0084696D"/>
    <w:rsid w:val="008469A3"/>
    <w:rsid w:val="00847311"/>
    <w:rsid w:val="0084754F"/>
    <w:rsid w:val="008477DB"/>
    <w:rsid w:val="00847D70"/>
    <w:rsid w:val="0085174A"/>
    <w:rsid w:val="00851C73"/>
    <w:rsid w:val="00852B1C"/>
    <w:rsid w:val="00853336"/>
    <w:rsid w:val="0085355C"/>
    <w:rsid w:val="008556A8"/>
    <w:rsid w:val="00855DCF"/>
    <w:rsid w:val="00855FF7"/>
    <w:rsid w:val="00856A4E"/>
    <w:rsid w:val="00856C09"/>
    <w:rsid w:val="00856C56"/>
    <w:rsid w:val="00857A15"/>
    <w:rsid w:val="00857A60"/>
    <w:rsid w:val="00860DE4"/>
    <w:rsid w:val="00861315"/>
    <w:rsid w:val="0086143E"/>
    <w:rsid w:val="00861784"/>
    <w:rsid w:val="008620B4"/>
    <w:rsid w:val="00862CEB"/>
    <w:rsid w:val="00864840"/>
    <w:rsid w:val="00864ACB"/>
    <w:rsid w:val="00865DCF"/>
    <w:rsid w:val="00866D56"/>
    <w:rsid w:val="00867103"/>
    <w:rsid w:val="008676AC"/>
    <w:rsid w:val="00867DC6"/>
    <w:rsid w:val="008710E6"/>
    <w:rsid w:val="00871805"/>
    <w:rsid w:val="008720E9"/>
    <w:rsid w:val="00872934"/>
    <w:rsid w:val="0087383A"/>
    <w:rsid w:val="00874060"/>
    <w:rsid w:val="00874D32"/>
    <w:rsid w:val="00874D51"/>
    <w:rsid w:val="00875031"/>
    <w:rsid w:val="008761BA"/>
    <w:rsid w:val="00876CD1"/>
    <w:rsid w:val="00877B93"/>
    <w:rsid w:val="00877F9F"/>
    <w:rsid w:val="0088031B"/>
    <w:rsid w:val="0088082C"/>
    <w:rsid w:val="008812DA"/>
    <w:rsid w:val="0088186B"/>
    <w:rsid w:val="00881AA5"/>
    <w:rsid w:val="008820E2"/>
    <w:rsid w:val="00882505"/>
    <w:rsid w:val="00882C74"/>
    <w:rsid w:val="00882D75"/>
    <w:rsid w:val="00882E7A"/>
    <w:rsid w:val="008833EB"/>
    <w:rsid w:val="0088444A"/>
    <w:rsid w:val="00884E99"/>
    <w:rsid w:val="00885580"/>
    <w:rsid w:val="00887196"/>
    <w:rsid w:val="00890086"/>
    <w:rsid w:val="00891009"/>
    <w:rsid w:val="008928A0"/>
    <w:rsid w:val="00892E01"/>
    <w:rsid w:val="00894139"/>
    <w:rsid w:val="00895B68"/>
    <w:rsid w:val="00895F34"/>
    <w:rsid w:val="008964F1"/>
    <w:rsid w:val="0089730B"/>
    <w:rsid w:val="00897AF1"/>
    <w:rsid w:val="008A131E"/>
    <w:rsid w:val="008A14AE"/>
    <w:rsid w:val="008A14F7"/>
    <w:rsid w:val="008A1A43"/>
    <w:rsid w:val="008A1F4E"/>
    <w:rsid w:val="008A2E21"/>
    <w:rsid w:val="008A3E43"/>
    <w:rsid w:val="008A4EE0"/>
    <w:rsid w:val="008A57BB"/>
    <w:rsid w:val="008A6A84"/>
    <w:rsid w:val="008A716B"/>
    <w:rsid w:val="008A757A"/>
    <w:rsid w:val="008B0840"/>
    <w:rsid w:val="008B1100"/>
    <w:rsid w:val="008B1724"/>
    <w:rsid w:val="008B2172"/>
    <w:rsid w:val="008B312A"/>
    <w:rsid w:val="008B3852"/>
    <w:rsid w:val="008B3B07"/>
    <w:rsid w:val="008B4445"/>
    <w:rsid w:val="008B485A"/>
    <w:rsid w:val="008B7D4A"/>
    <w:rsid w:val="008C0AB0"/>
    <w:rsid w:val="008C1908"/>
    <w:rsid w:val="008C2EE1"/>
    <w:rsid w:val="008C3BC1"/>
    <w:rsid w:val="008C3EA5"/>
    <w:rsid w:val="008C4A82"/>
    <w:rsid w:val="008C5C1C"/>
    <w:rsid w:val="008C65CC"/>
    <w:rsid w:val="008C663D"/>
    <w:rsid w:val="008C6910"/>
    <w:rsid w:val="008C6F49"/>
    <w:rsid w:val="008C7325"/>
    <w:rsid w:val="008C7E3C"/>
    <w:rsid w:val="008D00A2"/>
    <w:rsid w:val="008D23B2"/>
    <w:rsid w:val="008D2DF2"/>
    <w:rsid w:val="008D2F86"/>
    <w:rsid w:val="008D388E"/>
    <w:rsid w:val="008D5F57"/>
    <w:rsid w:val="008D6DBB"/>
    <w:rsid w:val="008D7EBB"/>
    <w:rsid w:val="008E1926"/>
    <w:rsid w:val="008E193D"/>
    <w:rsid w:val="008E1B39"/>
    <w:rsid w:val="008E3569"/>
    <w:rsid w:val="008E529B"/>
    <w:rsid w:val="008E54EC"/>
    <w:rsid w:val="008E5863"/>
    <w:rsid w:val="008E639A"/>
    <w:rsid w:val="008E7E05"/>
    <w:rsid w:val="008F0790"/>
    <w:rsid w:val="008F120E"/>
    <w:rsid w:val="008F12E0"/>
    <w:rsid w:val="008F14EB"/>
    <w:rsid w:val="008F1522"/>
    <w:rsid w:val="008F1CC3"/>
    <w:rsid w:val="008F2D32"/>
    <w:rsid w:val="008F391F"/>
    <w:rsid w:val="008F42FA"/>
    <w:rsid w:val="008F5E2E"/>
    <w:rsid w:val="008F7034"/>
    <w:rsid w:val="008F771F"/>
    <w:rsid w:val="008F7D7C"/>
    <w:rsid w:val="0090066D"/>
    <w:rsid w:val="009006F4"/>
    <w:rsid w:val="00900BC3"/>
    <w:rsid w:val="00902BE5"/>
    <w:rsid w:val="00903C57"/>
    <w:rsid w:val="00903DCF"/>
    <w:rsid w:val="00903FFC"/>
    <w:rsid w:val="009043D8"/>
    <w:rsid w:val="00904511"/>
    <w:rsid w:val="0090463C"/>
    <w:rsid w:val="00905FE3"/>
    <w:rsid w:val="00906EDB"/>
    <w:rsid w:val="00907110"/>
    <w:rsid w:val="009102DE"/>
    <w:rsid w:val="009118B7"/>
    <w:rsid w:val="00913BDE"/>
    <w:rsid w:val="00914280"/>
    <w:rsid w:val="009143B4"/>
    <w:rsid w:val="00914850"/>
    <w:rsid w:val="0091489C"/>
    <w:rsid w:val="0091491B"/>
    <w:rsid w:val="00915050"/>
    <w:rsid w:val="0091551F"/>
    <w:rsid w:val="009162B4"/>
    <w:rsid w:val="00916373"/>
    <w:rsid w:val="0091752E"/>
    <w:rsid w:val="00917BBE"/>
    <w:rsid w:val="0092180F"/>
    <w:rsid w:val="0092278B"/>
    <w:rsid w:val="009229A0"/>
    <w:rsid w:val="00922DED"/>
    <w:rsid w:val="00923BC9"/>
    <w:rsid w:val="00923BFE"/>
    <w:rsid w:val="00923F4E"/>
    <w:rsid w:val="00924F8D"/>
    <w:rsid w:val="009253B3"/>
    <w:rsid w:val="009258E2"/>
    <w:rsid w:val="00925C54"/>
    <w:rsid w:val="009261BD"/>
    <w:rsid w:val="00927327"/>
    <w:rsid w:val="00927602"/>
    <w:rsid w:val="0092791A"/>
    <w:rsid w:val="00927AE6"/>
    <w:rsid w:val="00930054"/>
    <w:rsid w:val="00930937"/>
    <w:rsid w:val="009309B7"/>
    <w:rsid w:val="00930EB0"/>
    <w:rsid w:val="0093150B"/>
    <w:rsid w:val="009321B7"/>
    <w:rsid w:val="009325F7"/>
    <w:rsid w:val="00932F38"/>
    <w:rsid w:val="00932F84"/>
    <w:rsid w:val="009338BF"/>
    <w:rsid w:val="00933B3F"/>
    <w:rsid w:val="00933D26"/>
    <w:rsid w:val="00933D4B"/>
    <w:rsid w:val="00934A75"/>
    <w:rsid w:val="00934E77"/>
    <w:rsid w:val="0093683C"/>
    <w:rsid w:val="00936DF9"/>
    <w:rsid w:val="00937CFC"/>
    <w:rsid w:val="00937D10"/>
    <w:rsid w:val="00940B69"/>
    <w:rsid w:val="00941057"/>
    <w:rsid w:val="0094239D"/>
    <w:rsid w:val="00944FFC"/>
    <w:rsid w:val="009456BF"/>
    <w:rsid w:val="00945896"/>
    <w:rsid w:val="00946AF8"/>
    <w:rsid w:val="00947CCA"/>
    <w:rsid w:val="00947DB9"/>
    <w:rsid w:val="00950232"/>
    <w:rsid w:val="0095196E"/>
    <w:rsid w:val="009520DA"/>
    <w:rsid w:val="009527A5"/>
    <w:rsid w:val="00952917"/>
    <w:rsid w:val="00952B4B"/>
    <w:rsid w:val="00953A46"/>
    <w:rsid w:val="00954CC9"/>
    <w:rsid w:val="0095556E"/>
    <w:rsid w:val="009557BC"/>
    <w:rsid w:val="00955D1D"/>
    <w:rsid w:val="00955D27"/>
    <w:rsid w:val="0095716B"/>
    <w:rsid w:val="00960552"/>
    <w:rsid w:val="0096138E"/>
    <w:rsid w:val="00961B16"/>
    <w:rsid w:val="00961C3C"/>
    <w:rsid w:val="00963E02"/>
    <w:rsid w:val="0096491F"/>
    <w:rsid w:val="00965822"/>
    <w:rsid w:val="00966361"/>
    <w:rsid w:val="0096684B"/>
    <w:rsid w:val="00967302"/>
    <w:rsid w:val="00971260"/>
    <w:rsid w:val="00971354"/>
    <w:rsid w:val="00971842"/>
    <w:rsid w:val="0097270D"/>
    <w:rsid w:val="00973ECC"/>
    <w:rsid w:val="009754B5"/>
    <w:rsid w:val="00975CC6"/>
    <w:rsid w:val="00976001"/>
    <w:rsid w:val="0097619A"/>
    <w:rsid w:val="0097734E"/>
    <w:rsid w:val="0098037A"/>
    <w:rsid w:val="009811F8"/>
    <w:rsid w:val="009817CE"/>
    <w:rsid w:val="00981E97"/>
    <w:rsid w:val="00982B93"/>
    <w:rsid w:val="0098352F"/>
    <w:rsid w:val="00983C28"/>
    <w:rsid w:val="00985E3B"/>
    <w:rsid w:val="00986267"/>
    <w:rsid w:val="009869CF"/>
    <w:rsid w:val="00986CA5"/>
    <w:rsid w:val="00987273"/>
    <w:rsid w:val="009908DC"/>
    <w:rsid w:val="00990E12"/>
    <w:rsid w:val="00992A90"/>
    <w:rsid w:val="00993A33"/>
    <w:rsid w:val="0099423C"/>
    <w:rsid w:val="0099491D"/>
    <w:rsid w:val="009977FF"/>
    <w:rsid w:val="00997AA9"/>
    <w:rsid w:val="00997E88"/>
    <w:rsid w:val="00997F57"/>
    <w:rsid w:val="009A05B9"/>
    <w:rsid w:val="009A0862"/>
    <w:rsid w:val="009A0B4A"/>
    <w:rsid w:val="009A0E00"/>
    <w:rsid w:val="009A2B04"/>
    <w:rsid w:val="009A2B17"/>
    <w:rsid w:val="009A3101"/>
    <w:rsid w:val="009A462E"/>
    <w:rsid w:val="009A47D8"/>
    <w:rsid w:val="009A5AC4"/>
    <w:rsid w:val="009A5B20"/>
    <w:rsid w:val="009A5F92"/>
    <w:rsid w:val="009A6D6B"/>
    <w:rsid w:val="009B098B"/>
    <w:rsid w:val="009B0C24"/>
    <w:rsid w:val="009B132D"/>
    <w:rsid w:val="009B161D"/>
    <w:rsid w:val="009B2912"/>
    <w:rsid w:val="009B2998"/>
    <w:rsid w:val="009B3CA2"/>
    <w:rsid w:val="009B4C51"/>
    <w:rsid w:val="009B5FE0"/>
    <w:rsid w:val="009B6E74"/>
    <w:rsid w:val="009B73D6"/>
    <w:rsid w:val="009B784E"/>
    <w:rsid w:val="009C2026"/>
    <w:rsid w:val="009C28D3"/>
    <w:rsid w:val="009C29E2"/>
    <w:rsid w:val="009C2FDA"/>
    <w:rsid w:val="009C579B"/>
    <w:rsid w:val="009C6275"/>
    <w:rsid w:val="009C73BA"/>
    <w:rsid w:val="009C7C75"/>
    <w:rsid w:val="009D0330"/>
    <w:rsid w:val="009D2E85"/>
    <w:rsid w:val="009D3802"/>
    <w:rsid w:val="009D4DA1"/>
    <w:rsid w:val="009D5546"/>
    <w:rsid w:val="009D5755"/>
    <w:rsid w:val="009D57C7"/>
    <w:rsid w:val="009D58F9"/>
    <w:rsid w:val="009D5A0A"/>
    <w:rsid w:val="009D5BC8"/>
    <w:rsid w:val="009D6359"/>
    <w:rsid w:val="009D7A47"/>
    <w:rsid w:val="009E0D50"/>
    <w:rsid w:val="009E136A"/>
    <w:rsid w:val="009E1684"/>
    <w:rsid w:val="009E2B7A"/>
    <w:rsid w:val="009E36C4"/>
    <w:rsid w:val="009E4504"/>
    <w:rsid w:val="009E5091"/>
    <w:rsid w:val="009E56E6"/>
    <w:rsid w:val="009E6A0C"/>
    <w:rsid w:val="009E7947"/>
    <w:rsid w:val="009E7B2E"/>
    <w:rsid w:val="009E7C1F"/>
    <w:rsid w:val="009F0525"/>
    <w:rsid w:val="009F0C2F"/>
    <w:rsid w:val="009F0DBC"/>
    <w:rsid w:val="009F1B7A"/>
    <w:rsid w:val="009F1C86"/>
    <w:rsid w:val="009F1E0E"/>
    <w:rsid w:val="009F3B7B"/>
    <w:rsid w:val="009F3DD4"/>
    <w:rsid w:val="009F4AC5"/>
    <w:rsid w:val="009F5A84"/>
    <w:rsid w:val="009F7577"/>
    <w:rsid w:val="009F7711"/>
    <w:rsid w:val="00A00130"/>
    <w:rsid w:val="00A00497"/>
    <w:rsid w:val="00A01D4D"/>
    <w:rsid w:val="00A01DB2"/>
    <w:rsid w:val="00A027CE"/>
    <w:rsid w:val="00A0358F"/>
    <w:rsid w:val="00A03654"/>
    <w:rsid w:val="00A0369A"/>
    <w:rsid w:val="00A036DC"/>
    <w:rsid w:val="00A0384A"/>
    <w:rsid w:val="00A0720C"/>
    <w:rsid w:val="00A07A25"/>
    <w:rsid w:val="00A10F61"/>
    <w:rsid w:val="00A11317"/>
    <w:rsid w:val="00A11A07"/>
    <w:rsid w:val="00A13EFC"/>
    <w:rsid w:val="00A14734"/>
    <w:rsid w:val="00A1566B"/>
    <w:rsid w:val="00A1585B"/>
    <w:rsid w:val="00A17C0C"/>
    <w:rsid w:val="00A17EE5"/>
    <w:rsid w:val="00A17EEF"/>
    <w:rsid w:val="00A21574"/>
    <w:rsid w:val="00A215B9"/>
    <w:rsid w:val="00A215FF"/>
    <w:rsid w:val="00A21E84"/>
    <w:rsid w:val="00A24E28"/>
    <w:rsid w:val="00A315ED"/>
    <w:rsid w:val="00A31F23"/>
    <w:rsid w:val="00A32488"/>
    <w:rsid w:val="00A3407C"/>
    <w:rsid w:val="00A345D1"/>
    <w:rsid w:val="00A351A7"/>
    <w:rsid w:val="00A35F99"/>
    <w:rsid w:val="00A36970"/>
    <w:rsid w:val="00A37072"/>
    <w:rsid w:val="00A371E1"/>
    <w:rsid w:val="00A417D8"/>
    <w:rsid w:val="00A41BEC"/>
    <w:rsid w:val="00A42577"/>
    <w:rsid w:val="00A4362A"/>
    <w:rsid w:val="00A4461C"/>
    <w:rsid w:val="00A44C4F"/>
    <w:rsid w:val="00A44F72"/>
    <w:rsid w:val="00A462FC"/>
    <w:rsid w:val="00A47035"/>
    <w:rsid w:val="00A472DF"/>
    <w:rsid w:val="00A5026C"/>
    <w:rsid w:val="00A50742"/>
    <w:rsid w:val="00A512C4"/>
    <w:rsid w:val="00A51FCA"/>
    <w:rsid w:val="00A5231E"/>
    <w:rsid w:val="00A53A3D"/>
    <w:rsid w:val="00A53BD2"/>
    <w:rsid w:val="00A553CA"/>
    <w:rsid w:val="00A55556"/>
    <w:rsid w:val="00A55CB6"/>
    <w:rsid w:val="00A5738E"/>
    <w:rsid w:val="00A574EA"/>
    <w:rsid w:val="00A57E57"/>
    <w:rsid w:val="00A61C14"/>
    <w:rsid w:val="00A61D08"/>
    <w:rsid w:val="00A61FB9"/>
    <w:rsid w:val="00A62EA0"/>
    <w:rsid w:val="00A63952"/>
    <w:rsid w:val="00A63A67"/>
    <w:rsid w:val="00A6430B"/>
    <w:rsid w:val="00A64818"/>
    <w:rsid w:val="00A65580"/>
    <w:rsid w:val="00A656B4"/>
    <w:rsid w:val="00A65CEB"/>
    <w:rsid w:val="00A66405"/>
    <w:rsid w:val="00A66F9C"/>
    <w:rsid w:val="00A70818"/>
    <w:rsid w:val="00A70E98"/>
    <w:rsid w:val="00A70F44"/>
    <w:rsid w:val="00A71617"/>
    <w:rsid w:val="00A72555"/>
    <w:rsid w:val="00A73491"/>
    <w:rsid w:val="00A73FFC"/>
    <w:rsid w:val="00A74387"/>
    <w:rsid w:val="00A746E5"/>
    <w:rsid w:val="00A74FA2"/>
    <w:rsid w:val="00A753E7"/>
    <w:rsid w:val="00A754D1"/>
    <w:rsid w:val="00A767D9"/>
    <w:rsid w:val="00A76ECC"/>
    <w:rsid w:val="00A80597"/>
    <w:rsid w:val="00A80D92"/>
    <w:rsid w:val="00A80FDB"/>
    <w:rsid w:val="00A8275B"/>
    <w:rsid w:val="00A83254"/>
    <w:rsid w:val="00A8354D"/>
    <w:rsid w:val="00A839D8"/>
    <w:rsid w:val="00A84775"/>
    <w:rsid w:val="00A85783"/>
    <w:rsid w:val="00A867AB"/>
    <w:rsid w:val="00A872A5"/>
    <w:rsid w:val="00A87BC7"/>
    <w:rsid w:val="00A90BAC"/>
    <w:rsid w:val="00A91142"/>
    <w:rsid w:val="00A912B0"/>
    <w:rsid w:val="00A91C0A"/>
    <w:rsid w:val="00A91E2F"/>
    <w:rsid w:val="00A92B8D"/>
    <w:rsid w:val="00A937B1"/>
    <w:rsid w:val="00A93C44"/>
    <w:rsid w:val="00A95302"/>
    <w:rsid w:val="00A95E28"/>
    <w:rsid w:val="00A962A2"/>
    <w:rsid w:val="00A96793"/>
    <w:rsid w:val="00AA0BE8"/>
    <w:rsid w:val="00AA0F17"/>
    <w:rsid w:val="00AA2F40"/>
    <w:rsid w:val="00AA3211"/>
    <w:rsid w:val="00AA3218"/>
    <w:rsid w:val="00AA3409"/>
    <w:rsid w:val="00AA3647"/>
    <w:rsid w:val="00AA4470"/>
    <w:rsid w:val="00AA4A54"/>
    <w:rsid w:val="00AA4FD4"/>
    <w:rsid w:val="00AA589E"/>
    <w:rsid w:val="00AA69C1"/>
    <w:rsid w:val="00AB1396"/>
    <w:rsid w:val="00AB17B9"/>
    <w:rsid w:val="00AB1880"/>
    <w:rsid w:val="00AB2030"/>
    <w:rsid w:val="00AB2184"/>
    <w:rsid w:val="00AB27C9"/>
    <w:rsid w:val="00AB294D"/>
    <w:rsid w:val="00AB3623"/>
    <w:rsid w:val="00AB4481"/>
    <w:rsid w:val="00AB621F"/>
    <w:rsid w:val="00AB6448"/>
    <w:rsid w:val="00AB77E0"/>
    <w:rsid w:val="00AB7CC3"/>
    <w:rsid w:val="00AC1D3A"/>
    <w:rsid w:val="00AC1DCF"/>
    <w:rsid w:val="00AC1FE7"/>
    <w:rsid w:val="00AC3E64"/>
    <w:rsid w:val="00AC585C"/>
    <w:rsid w:val="00AC5893"/>
    <w:rsid w:val="00AD16EF"/>
    <w:rsid w:val="00AD1A11"/>
    <w:rsid w:val="00AD2AA5"/>
    <w:rsid w:val="00AD3549"/>
    <w:rsid w:val="00AD3753"/>
    <w:rsid w:val="00AD391A"/>
    <w:rsid w:val="00AD43C2"/>
    <w:rsid w:val="00AD4624"/>
    <w:rsid w:val="00AD50FC"/>
    <w:rsid w:val="00AD511A"/>
    <w:rsid w:val="00AD526B"/>
    <w:rsid w:val="00AD581D"/>
    <w:rsid w:val="00AD623C"/>
    <w:rsid w:val="00AD6DFC"/>
    <w:rsid w:val="00AE00C1"/>
    <w:rsid w:val="00AE0947"/>
    <w:rsid w:val="00AE33A2"/>
    <w:rsid w:val="00AE52CD"/>
    <w:rsid w:val="00AE76EE"/>
    <w:rsid w:val="00AE7B8A"/>
    <w:rsid w:val="00AF20AA"/>
    <w:rsid w:val="00AF21CC"/>
    <w:rsid w:val="00AF3D33"/>
    <w:rsid w:val="00AF53F0"/>
    <w:rsid w:val="00AF5585"/>
    <w:rsid w:val="00AF55C2"/>
    <w:rsid w:val="00AF67E6"/>
    <w:rsid w:val="00B002B3"/>
    <w:rsid w:val="00B01A7F"/>
    <w:rsid w:val="00B02359"/>
    <w:rsid w:val="00B025D6"/>
    <w:rsid w:val="00B02F4B"/>
    <w:rsid w:val="00B033DF"/>
    <w:rsid w:val="00B03C3F"/>
    <w:rsid w:val="00B03CFE"/>
    <w:rsid w:val="00B03E61"/>
    <w:rsid w:val="00B03EEA"/>
    <w:rsid w:val="00B04341"/>
    <w:rsid w:val="00B0443F"/>
    <w:rsid w:val="00B051AB"/>
    <w:rsid w:val="00B06A1C"/>
    <w:rsid w:val="00B0772C"/>
    <w:rsid w:val="00B11D83"/>
    <w:rsid w:val="00B12833"/>
    <w:rsid w:val="00B12EC4"/>
    <w:rsid w:val="00B13A9A"/>
    <w:rsid w:val="00B13DEA"/>
    <w:rsid w:val="00B140DD"/>
    <w:rsid w:val="00B140F4"/>
    <w:rsid w:val="00B14E85"/>
    <w:rsid w:val="00B15E25"/>
    <w:rsid w:val="00B16328"/>
    <w:rsid w:val="00B16DBB"/>
    <w:rsid w:val="00B2046F"/>
    <w:rsid w:val="00B213C9"/>
    <w:rsid w:val="00B2255D"/>
    <w:rsid w:val="00B244DC"/>
    <w:rsid w:val="00B26282"/>
    <w:rsid w:val="00B26F2A"/>
    <w:rsid w:val="00B270CC"/>
    <w:rsid w:val="00B304F9"/>
    <w:rsid w:val="00B30898"/>
    <w:rsid w:val="00B34314"/>
    <w:rsid w:val="00B35051"/>
    <w:rsid w:val="00B35D67"/>
    <w:rsid w:val="00B3603E"/>
    <w:rsid w:val="00B362E5"/>
    <w:rsid w:val="00B36EFC"/>
    <w:rsid w:val="00B40817"/>
    <w:rsid w:val="00B40F23"/>
    <w:rsid w:val="00B4374E"/>
    <w:rsid w:val="00B43C4D"/>
    <w:rsid w:val="00B4401C"/>
    <w:rsid w:val="00B44846"/>
    <w:rsid w:val="00B45A36"/>
    <w:rsid w:val="00B4791B"/>
    <w:rsid w:val="00B517F6"/>
    <w:rsid w:val="00B52549"/>
    <w:rsid w:val="00B534E9"/>
    <w:rsid w:val="00B53561"/>
    <w:rsid w:val="00B53D5F"/>
    <w:rsid w:val="00B5483E"/>
    <w:rsid w:val="00B54924"/>
    <w:rsid w:val="00B54AD0"/>
    <w:rsid w:val="00B551CE"/>
    <w:rsid w:val="00B55360"/>
    <w:rsid w:val="00B55773"/>
    <w:rsid w:val="00B55A4D"/>
    <w:rsid w:val="00B56EAD"/>
    <w:rsid w:val="00B5725B"/>
    <w:rsid w:val="00B5767A"/>
    <w:rsid w:val="00B57CE5"/>
    <w:rsid w:val="00B6007D"/>
    <w:rsid w:val="00B6157D"/>
    <w:rsid w:val="00B61C32"/>
    <w:rsid w:val="00B623AC"/>
    <w:rsid w:val="00B62989"/>
    <w:rsid w:val="00B62D8C"/>
    <w:rsid w:val="00B64059"/>
    <w:rsid w:val="00B64617"/>
    <w:rsid w:val="00B64A6B"/>
    <w:rsid w:val="00B655EF"/>
    <w:rsid w:val="00B6596A"/>
    <w:rsid w:val="00B6599A"/>
    <w:rsid w:val="00B6618D"/>
    <w:rsid w:val="00B66F23"/>
    <w:rsid w:val="00B6782F"/>
    <w:rsid w:val="00B67D81"/>
    <w:rsid w:val="00B70F71"/>
    <w:rsid w:val="00B72E41"/>
    <w:rsid w:val="00B73673"/>
    <w:rsid w:val="00B747A7"/>
    <w:rsid w:val="00B752F3"/>
    <w:rsid w:val="00B76A17"/>
    <w:rsid w:val="00B77245"/>
    <w:rsid w:val="00B77D8F"/>
    <w:rsid w:val="00B80169"/>
    <w:rsid w:val="00B80F32"/>
    <w:rsid w:val="00B82285"/>
    <w:rsid w:val="00B822A8"/>
    <w:rsid w:val="00B823AF"/>
    <w:rsid w:val="00B82E05"/>
    <w:rsid w:val="00B82F9E"/>
    <w:rsid w:val="00B83C31"/>
    <w:rsid w:val="00B85B9F"/>
    <w:rsid w:val="00B86A7C"/>
    <w:rsid w:val="00B8724B"/>
    <w:rsid w:val="00B87DBF"/>
    <w:rsid w:val="00B903E2"/>
    <w:rsid w:val="00B90683"/>
    <w:rsid w:val="00B90987"/>
    <w:rsid w:val="00B90E23"/>
    <w:rsid w:val="00B92B60"/>
    <w:rsid w:val="00B92C0C"/>
    <w:rsid w:val="00B93B78"/>
    <w:rsid w:val="00B944CC"/>
    <w:rsid w:val="00B957EA"/>
    <w:rsid w:val="00B96458"/>
    <w:rsid w:val="00B970CF"/>
    <w:rsid w:val="00B97B67"/>
    <w:rsid w:val="00BA0030"/>
    <w:rsid w:val="00BA0156"/>
    <w:rsid w:val="00BA0C6E"/>
    <w:rsid w:val="00BA131F"/>
    <w:rsid w:val="00BA2D59"/>
    <w:rsid w:val="00BA2D8A"/>
    <w:rsid w:val="00BA3B6B"/>
    <w:rsid w:val="00BA4C86"/>
    <w:rsid w:val="00BA4C8F"/>
    <w:rsid w:val="00BA55BB"/>
    <w:rsid w:val="00BA789D"/>
    <w:rsid w:val="00BA7C1B"/>
    <w:rsid w:val="00BB012E"/>
    <w:rsid w:val="00BB1EB4"/>
    <w:rsid w:val="00BB223E"/>
    <w:rsid w:val="00BB3F17"/>
    <w:rsid w:val="00BB42FC"/>
    <w:rsid w:val="00BB4ED4"/>
    <w:rsid w:val="00BB5DCC"/>
    <w:rsid w:val="00BB76F4"/>
    <w:rsid w:val="00BB7803"/>
    <w:rsid w:val="00BB7935"/>
    <w:rsid w:val="00BC08BB"/>
    <w:rsid w:val="00BC21E5"/>
    <w:rsid w:val="00BC2207"/>
    <w:rsid w:val="00BC252E"/>
    <w:rsid w:val="00BC26D9"/>
    <w:rsid w:val="00BC4E32"/>
    <w:rsid w:val="00BC54F6"/>
    <w:rsid w:val="00BC553D"/>
    <w:rsid w:val="00BC5952"/>
    <w:rsid w:val="00BC700E"/>
    <w:rsid w:val="00BC71AF"/>
    <w:rsid w:val="00BC78AA"/>
    <w:rsid w:val="00BC7AB7"/>
    <w:rsid w:val="00BC7B1D"/>
    <w:rsid w:val="00BD01C5"/>
    <w:rsid w:val="00BD026E"/>
    <w:rsid w:val="00BD1146"/>
    <w:rsid w:val="00BD1A4E"/>
    <w:rsid w:val="00BD1A7C"/>
    <w:rsid w:val="00BD38D9"/>
    <w:rsid w:val="00BD442E"/>
    <w:rsid w:val="00BD5819"/>
    <w:rsid w:val="00BD67C7"/>
    <w:rsid w:val="00BD764C"/>
    <w:rsid w:val="00BD7CD5"/>
    <w:rsid w:val="00BE2A86"/>
    <w:rsid w:val="00BE2E0B"/>
    <w:rsid w:val="00BE456E"/>
    <w:rsid w:val="00BE5E3E"/>
    <w:rsid w:val="00BE61C1"/>
    <w:rsid w:val="00BE66BF"/>
    <w:rsid w:val="00BE6A9D"/>
    <w:rsid w:val="00BE702B"/>
    <w:rsid w:val="00BE748F"/>
    <w:rsid w:val="00BE777A"/>
    <w:rsid w:val="00BE78E1"/>
    <w:rsid w:val="00BE7B90"/>
    <w:rsid w:val="00BE7F85"/>
    <w:rsid w:val="00BF0763"/>
    <w:rsid w:val="00BF0874"/>
    <w:rsid w:val="00BF1066"/>
    <w:rsid w:val="00BF22A6"/>
    <w:rsid w:val="00BF3690"/>
    <w:rsid w:val="00BF3D7C"/>
    <w:rsid w:val="00BF5155"/>
    <w:rsid w:val="00BF5E3C"/>
    <w:rsid w:val="00BF6DAB"/>
    <w:rsid w:val="00BF7984"/>
    <w:rsid w:val="00C001C6"/>
    <w:rsid w:val="00C00757"/>
    <w:rsid w:val="00C0096C"/>
    <w:rsid w:val="00C00EE5"/>
    <w:rsid w:val="00C01048"/>
    <w:rsid w:val="00C01487"/>
    <w:rsid w:val="00C03978"/>
    <w:rsid w:val="00C04562"/>
    <w:rsid w:val="00C04F1E"/>
    <w:rsid w:val="00C061AA"/>
    <w:rsid w:val="00C06496"/>
    <w:rsid w:val="00C076A3"/>
    <w:rsid w:val="00C0788A"/>
    <w:rsid w:val="00C10566"/>
    <w:rsid w:val="00C10650"/>
    <w:rsid w:val="00C119C8"/>
    <w:rsid w:val="00C13070"/>
    <w:rsid w:val="00C13837"/>
    <w:rsid w:val="00C13E18"/>
    <w:rsid w:val="00C1401C"/>
    <w:rsid w:val="00C14B63"/>
    <w:rsid w:val="00C15BEF"/>
    <w:rsid w:val="00C16372"/>
    <w:rsid w:val="00C168E7"/>
    <w:rsid w:val="00C175CB"/>
    <w:rsid w:val="00C17852"/>
    <w:rsid w:val="00C2011F"/>
    <w:rsid w:val="00C205E9"/>
    <w:rsid w:val="00C20A7F"/>
    <w:rsid w:val="00C23D1F"/>
    <w:rsid w:val="00C24872"/>
    <w:rsid w:val="00C252F8"/>
    <w:rsid w:val="00C265B8"/>
    <w:rsid w:val="00C267AF"/>
    <w:rsid w:val="00C2749F"/>
    <w:rsid w:val="00C306BF"/>
    <w:rsid w:val="00C3082D"/>
    <w:rsid w:val="00C309EB"/>
    <w:rsid w:val="00C31420"/>
    <w:rsid w:val="00C316C3"/>
    <w:rsid w:val="00C31957"/>
    <w:rsid w:val="00C32357"/>
    <w:rsid w:val="00C32A5B"/>
    <w:rsid w:val="00C33002"/>
    <w:rsid w:val="00C33630"/>
    <w:rsid w:val="00C33BC3"/>
    <w:rsid w:val="00C33FF3"/>
    <w:rsid w:val="00C342BF"/>
    <w:rsid w:val="00C34E2C"/>
    <w:rsid w:val="00C34F0E"/>
    <w:rsid w:val="00C35D08"/>
    <w:rsid w:val="00C363EA"/>
    <w:rsid w:val="00C36BC6"/>
    <w:rsid w:val="00C37586"/>
    <w:rsid w:val="00C37653"/>
    <w:rsid w:val="00C42111"/>
    <w:rsid w:val="00C4393D"/>
    <w:rsid w:val="00C4436B"/>
    <w:rsid w:val="00C444D6"/>
    <w:rsid w:val="00C4496A"/>
    <w:rsid w:val="00C44A37"/>
    <w:rsid w:val="00C44E0C"/>
    <w:rsid w:val="00C451D3"/>
    <w:rsid w:val="00C46F76"/>
    <w:rsid w:val="00C501C6"/>
    <w:rsid w:val="00C51191"/>
    <w:rsid w:val="00C51340"/>
    <w:rsid w:val="00C513B9"/>
    <w:rsid w:val="00C528CA"/>
    <w:rsid w:val="00C52C69"/>
    <w:rsid w:val="00C5316C"/>
    <w:rsid w:val="00C542F9"/>
    <w:rsid w:val="00C5464D"/>
    <w:rsid w:val="00C54A4C"/>
    <w:rsid w:val="00C553EE"/>
    <w:rsid w:val="00C56923"/>
    <w:rsid w:val="00C57210"/>
    <w:rsid w:val="00C57D34"/>
    <w:rsid w:val="00C60FA3"/>
    <w:rsid w:val="00C610D3"/>
    <w:rsid w:val="00C61587"/>
    <w:rsid w:val="00C62236"/>
    <w:rsid w:val="00C6331A"/>
    <w:rsid w:val="00C6365F"/>
    <w:rsid w:val="00C64D04"/>
    <w:rsid w:val="00C654C8"/>
    <w:rsid w:val="00C664E1"/>
    <w:rsid w:val="00C67A1A"/>
    <w:rsid w:val="00C67F20"/>
    <w:rsid w:val="00C70CEA"/>
    <w:rsid w:val="00C70EBC"/>
    <w:rsid w:val="00C74562"/>
    <w:rsid w:val="00C7481B"/>
    <w:rsid w:val="00C7559D"/>
    <w:rsid w:val="00C75C43"/>
    <w:rsid w:val="00C76CF4"/>
    <w:rsid w:val="00C77CF0"/>
    <w:rsid w:val="00C77D04"/>
    <w:rsid w:val="00C80474"/>
    <w:rsid w:val="00C8096C"/>
    <w:rsid w:val="00C80A6F"/>
    <w:rsid w:val="00C81364"/>
    <w:rsid w:val="00C81EB3"/>
    <w:rsid w:val="00C81F5C"/>
    <w:rsid w:val="00C82765"/>
    <w:rsid w:val="00C83516"/>
    <w:rsid w:val="00C83661"/>
    <w:rsid w:val="00C84134"/>
    <w:rsid w:val="00C8459B"/>
    <w:rsid w:val="00C91199"/>
    <w:rsid w:val="00C91B4E"/>
    <w:rsid w:val="00C93754"/>
    <w:rsid w:val="00C93BEF"/>
    <w:rsid w:val="00CA0323"/>
    <w:rsid w:val="00CA0930"/>
    <w:rsid w:val="00CA2CCB"/>
    <w:rsid w:val="00CA2EA1"/>
    <w:rsid w:val="00CA30B9"/>
    <w:rsid w:val="00CA361C"/>
    <w:rsid w:val="00CA3682"/>
    <w:rsid w:val="00CA393F"/>
    <w:rsid w:val="00CA4FFE"/>
    <w:rsid w:val="00CA656A"/>
    <w:rsid w:val="00CB093A"/>
    <w:rsid w:val="00CB2BF4"/>
    <w:rsid w:val="00CB38BF"/>
    <w:rsid w:val="00CB3A47"/>
    <w:rsid w:val="00CB659B"/>
    <w:rsid w:val="00CB7F1D"/>
    <w:rsid w:val="00CC01AD"/>
    <w:rsid w:val="00CC0BD5"/>
    <w:rsid w:val="00CC1981"/>
    <w:rsid w:val="00CC202E"/>
    <w:rsid w:val="00CC2DC3"/>
    <w:rsid w:val="00CC300E"/>
    <w:rsid w:val="00CC340E"/>
    <w:rsid w:val="00CC55CC"/>
    <w:rsid w:val="00CC61FE"/>
    <w:rsid w:val="00CC743C"/>
    <w:rsid w:val="00CC7F4C"/>
    <w:rsid w:val="00CD0006"/>
    <w:rsid w:val="00CD0671"/>
    <w:rsid w:val="00CD07EE"/>
    <w:rsid w:val="00CD088D"/>
    <w:rsid w:val="00CD1AAB"/>
    <w:rsid w:val="00CD50A6"/>
    <w:rsid w:val="00CD5373"/>
    <w:rsid w:val="00CD55EE"/>
    <w:rsid w:val="00CD57BE"/>
    <w:rsid w:val="00CD66AE"/>
    <w:rsid w:val="00CD743C"/>
    <w:rsid w:val="00CE118F"/>
    <w:rsid w:val="00CE1A32"/>
    <w:rsid w:val="00CE4C48"/>
    <w:rsid w:val="00CE51E6"/>
    <w:rsid w:val="00CE5D79"/>
    <w:rsid w:val="00CF034E"/>
    <w:rsid w:val="00CF0F02"/>
    <w:rsid w:val="00CF12FC"/>
    <w:rsid w:val="00CF2830"/>
    <w:rsid w:val="00CF2D44"/>
    <w:rsid w:val="00CF3C55"/>
    <w:rsid w:val="00CF62BD"/>
    <w:rsid w:val="00CF656B"/>
    <w:rsid w:val="00CF6F68"/>
    <w:rsid w:val="00CF7029"/>
    <w:rsid w:val="00CF7C8A"/>
    <w:rsid w:val="00D00D8D"/>
    <w:rsid w:val="00D015EB"/>
    <w:rsid w:val="00D01B4A"/>
    <w:rsid w:val="00D02076"/>
    <w:rsid w:val="00D0244B"/>
    <w:rsid w:val="00D02A57"/>
    <w:rsid w:val="00D02A84"/>
    <w:rsid w:val="00D032A4"/>
    <w:rsid w:val="00D03865"/>
    <w:rsid w:val="00D03A27"/>
    <w:rsid w:val="00D041CC"/>
    <w:rsid w:val="00D048C3"/>
    <w:rsid w:val="00D05A55"/>
    <w:rsid w:val="00D0685A"/>
    <w:rsid w:val="00D07124"/>
    <w:rsid w:val="00D07BAD"/>
    <w:rsid w:val="00D1066E"/>
    <w:rsid w:val="00D116D6"/>
    <w:rsid w:val="00D118A6"/>
    <w:rsid w:val="00D11A73"/>
    <w:rsid w:val="00D134A3"/>
    <w:rsid w:val="00D14B35"/>
    <w:rsid w:val="00D15DB2"/>
    <w:rsid w:val="00D15ECE"/>
    <w:rsid w:val="00D1688E"/>
    <w:rsid w:val="00D16AEC"/>
    <w:rsid w:val="00D16B8A"/>
    <w:rsid w:val="00D21B0D"/>
    <w:rsid w:val="00D22F13"/>
    <w:rsid w:val="00D236CD"/>
    <w:rsid w:val="00D23C52"/>
    <w:rsid w:val="00D24E1E"/>
    <w:rsid w:val="00D26DDD"/>
    <w:rsid w:val="00D26F5C"/>
    <w:rsid w:val="00D271F8"/>
    <w:rsid w:val="00D34B38"/>
    <w:rsid w:val="00D367FB"/>
    <w:rsid w:val="00D37745"/>
    <w:rsid w:val="00D40BC2"/>
    <w:rsid w:val="00D42323"/>
    <w:rsid w:val="00D42DC4"/>
    <w:rsid w:val="00D43471"/>
    <w:rsid w:val="00D43D5F"/>
    <w:rsid w:val="00D44007"/>
    <w:rsid w:val="00D450F3"/>
    <w:rsid w:val="00D45846"/>
    <w:rsid w:val="00D5010F"/>
    <w:rsid w:val="00D5160E"/>
    <w:rsid w:val="00D519EC"/>
    <w:rsid w:val="00D51C7E"/>
    <w:rsid w:val="00D51D27"/>
    <w:rsid w:val="00D52C45"/>
    <w:rsid w:val="00D52F8D"/>
    <w:rsid w:val="00D531B1"/>
    <w:rsid w:val="00D53F01"/>
    <w:rsid w:val="00D5535D"/>
    <w:rsid w:val="00D554F0"/>
    <w:rsid w:val="00D555FD"/>
    <w:rsid w:val="00D55D9D"/>
    <w:rsid w:val="00D56C8C"/>
    <w:rsid w:val="00D6056E"/>
    <w:rsid w:val="00D61732"/>
    <w:rsid w:val="00D623D7"/>
    <w:rsid w:val="00D627A0"/>
    <w:rsid w:val="00D632CF"/>
    <w:rsid w:val="00D6424B"/>
    <w:rsid w:val="00D6428A"/>
    <w:rsid w:val="00D65A43"/>
    <w:rsid w:val="00D66258"/>
    <w:rsid w:val="00D663E6"/>
    <w:rsid w:val="00D66498"/>
    <w:rsid w:val="00D66E22"/>
    <w:rsid w:val="00D67017"/>
    <w:rsid w:val="00D678B9"/>
    <w:rsid w:val="00D70325"/>
    <w:rsid w:val="00D70789"/>
    <w:rsid w:val="00D708B6"/>
    <w:rsid w:val="00D72132"/>
    <w:rsid w:val="00D735BA"/>
    <w:rsid w:val="00D73938"/>
    <w:rsid w:val="00D7569B"/>
    <w:rsid w:val="00D76641"/>
    <w:rsid w:val="00D772F2"/>
    <w:rsid w:val="00D77A64"/>
    <w:rsid w:val="00D808BF"/>
    <w:rsid w:val="00D81339"/>
    <w:rsid w:val="00D81E2F"/>
    <w:rsid w:val="00D82A9C"/>
    <w:rsid w:val="00D830CB"/>
    <w:rsid w:val="00D8374B"/>
    <w:rsid w:val="00D837EE"/>
    <w:rsid w:val="00D842FB"/>
    <w:rsid w:val="00D846EC"/>
    <w:rsid w:val="00D84706"/>
    <w:rsid w:val="00D84C64"/>
    <w:rsid w:val="00D85A37"/>
    <w:rsid w:val="00D90BAC"/>
    <w:rsid w:val="00D90E38"/>
    <w:rsid w:val="00D916D0"/>
    <w:rsid w:val="00D93866"/>
    <w:rsid w:val="00D948BB"/>
    <w:rsid w:val="00D9510B"/>
    <w:rsid w:val="00D97DCE"/>
    <w:rsid w:val="00DA0BF6"/>
    <w:rsid w:val="00DA20BA"/>
    <w:rsid w:val="00DA2AE2"/>
    <w:rsid w:val="00DA3311"/>
    <w:rsid w:val="00DA419E"/>
    <w:rsid w:val="00DA437E"/>
    <w:rsid w:val="00DA5728"/>
    <w:rsid w:val="00DA5A07"/>
    <w:rsid w:val="00DA6951"/>
    <w:rsid w:val="00DA6B5E"/>
    <w:rsid w:val="00DB05F7"/>
    <w:rsid w:val="00DB1967"/>
    <w:rsid w:val="00DB1E7F"/>
    <w:rsid w:val="00DB25C1"/>
    <w:rsid w:val="00DB25D0"/>
    <w:rsid w:val="00DB26BF"/>
    <w:rsid w:val="00DB5092"/>
    <w:rsid w:val="00DB533D"/>
    <w:rsid w:val="00DB56BC"/>
    <w:rsid w:val="00DB5BC2"/>
    <w:rsid w:val="00DB718D"/>
    <w:rsid w:val="00DC0A62"/>
    <w:rsid w:val="00DC1041"/>
    <w:rsid w:val="00DC1DC3"/>
    <w:rsid w:val="00DC24A6"/>
    <w:rsid w:val="00DC2FF2"/>
    <w:rsid w:val="00DC4D77"/>
    <w:rsid w:val="00DC5D04"/>
    <w:rsid w:val="00DC65C1"/>
    <w:rsid w:val="00DC6B5B"/>
    <w:rsid w:val="00DD12F3"/>
    <w:rsid w:val="00DD202B"/>
    <w:rsid w:val="00DD2296"/>
    <w:rsid w:val="00DD23B3"/>
    <w:rsid w:val="00DD28AC"/>
    <w:rsid w:val="00DD4C0D"/>
    <w:rsid w:val="00DD693C"/>
    <w:rsid w:val="00DE0305"/>
    <w:rsid w:val="00DE0480"/>
    <w:rsid w:val="00DE0DFD"/>
    <w:rsid w:val="00DE1302"/>
    <w:rsid w:val="00DE1E68"/>
    <w:rsid w:val="00DE2531"/>
    <w:rsid w:val="00DE29ED"/>
    <w:rsid w:val="00DE3E46"/>
    <w:rsid w:val="00DE6704"/>
    <w:rsid w:val="00DE7811"/>
    <w:rsid w:val="00DF0B96"/>
    <w:rsid w:val="00DF1DB6"/>
    <w:rsid w:val="00DF2A36"/>
    <w:rsid w:val="00DF2F2A"/>
    <w:rsid w:val="00DF337C"/>
    <w:rsid w:val="00DF3589"/>
    <w:rsid w:val="00DF38CD"/>
    <w:rsid w:val="00DF3D34"/>
    <w:rsid w:val="00DF3DC1"/>
    <w:rsid w:val="00DF6305"/>
    <w:rsid w:val="00DF690F"/>
    <w:rsid w:val="00DF6FAA"/>
    <w:rsid w:val="00DF74EC"/>
    <w:rsid w:val="00DF7938"/>
    <w:rsid w:val="00E0065F"/>
    <w:rsid w:val="00E00750"/>
    <w:rsid w:val="00E0081D"/>
    <w:rsid w:val="00E00A66"/>
    <w:rsid w:val="00E01DE7"/>
    <w:rsid w:val="00E02340"/>
    <w:rsid w:val="00E0243B"/>
    <w:rsid w:val="00E0351D"/>
    <w:rsid w:val="00E05030"/>
    <w:rsid w:val="00E0574A"/>
    <w:rsid w:val="00E069CC"/>
    <w:rsid w:val="00E07378"/>
    <w:rsid w:val="00E102BC"/>
    <w:rsid w:val="00E10541"/>
    <w:rsid w:val="00E10C8D"/>
    <w:rsid w:val="00E115DD"/>
    <w:rsid w:val="00E11DD3"/>
    <w:rsid w:val="00E11E17"/>
    <w:rsid w:val="00E125FC"/>
    <w:rsid w:val="00E13549"/>
    <w:rsid w:val="00E13DAE"/>
    <w:rsid w:val="00E13F57"/>
    <w:rsid w:val="00E14347"/>
    <w:rsid w:val="00E14383"/>
    <w:rsid w:val="00E14867"/>
    <w:rsid w:val="00E14A6D"/>
    <w:rsid w:val="00E15604"/>
    <w:rsid w:val="00E17831"/>
    <w:rsid w:val="00E17DEC"/>
    <w:rsid w:val="00E17F37"/>
    <w:rsid w:val="00E20357"/>
    <w:rsid w:val="00E20FD1"/>
    <w:rsid w:val="00E2237F"/>
    <w:rsid w:val="00E2385C"/>
    <w:rsid w:val="00E25F76"/>
    <w:rsid w:val="00E26D53"/>
    <w:rsid w:val="00E31035"/>
    <w:rsid w:val="00E31A20"/>
    <w:rsid w:val="00E31E9D"/>
    <w:rsid w:val="00E341EB"/>
    <w:rsid w:val="00E34490"/>
    <w:rsid w:val="00E34C4C"/>
    <w:rsid w:val="00E35413"/>
    <w:rsid w:val="00E369A7"/>
    <w:rsid w:val="00E3746F"/>
    <w:rsid w:val="00E3777E"/>
    <w:rsid w:val="00E40857"/>
    <w:rsid w:val="00E43B50"/>
    <w:rsid w:val="00E440D6"/>
    <w:rsid w:val="00E44E00"/>
    <w:rsid w:val="00E4521B"/>
    <w:rsid w:val="00E45376"/>
    <w:rsid w:val="00E45554"/>
    <w:rsid w:val="00E4693A"/>
    <w:rsid w:val="00E469AE"/>
    <w:rsid w:val="00E516C8"/>
    <w:rsid w:val="00E546DF"/>
    <w:rsid w:val="00E54A2F"/>
    <w:rsid w:val="00E55121"/>
    <w:rsid w:val="00E557A3"/>
    <w:rsid w:val="00E55D4F"/>
    <w:rsid w:val="00E56505"/>
    <w:rsid w:val="00E57DA7"/>
    <w:rsid w:val="00E60D9C"/>
    <w:rsid w:val="00E60F28"/>
    <w:rsid w:val="00E629ED"/>
    <w:rsid w:val="00E62BE2"/>
    <w:rsid w:val="00E6474F"/>
    <w:rsid w:val="00E658D2"/>
    <w:rsid w:val="00E659FB"/>
    <w:rsid w:val="00E6679F"/>
    <w:rsid w:val="00E66A50"/>
    <w:rsid w:val="00E709F9"/>
    <w:rsid w:val="00E70C07"/>
    <w:rsid w:val="00E716BF"/>
    <w:rsid w:val="00E724E5"/>
    <w:rsid w:val="00E727C0"/>
    <w:rsid w:val="00E7388A"/>
    <w:rsid w:val="00E76BED"/>
    <w:rsid w:val="00E76DCB"/>
    <w:rsid w:val="00E776B8"/>
    <w:rsid w:val="00E81F6B"/>
    <w:rsid w:val="00E83366"/>
    <w:rsid w:val="00E851F0"/>
    <w:rsid w:val="00E86766"/>
    <w:rsid w:val="00E86CC4"/>
    <w:rsid w:val="00E8765F"/>
    <w:rsid w:val="00E87B20"/>
    <w:rsid w:val="00E87DDE"/>
    <w:rsid w:val="00E90469"/>
    <w:rsid w:val="00E90C5F"/>
    <w:rsid w:val="00E92A7D"/>
    <w:rsid w:val="00E92AA1"/>
    <w:rsid w:val="00E945ED"/>
    <w:rsid w:val="00E967CF"/>
    <w:rsid w:val="00E96F98"/>
    <w:rsid w:val="00E97D32"/>
    <w:rsid w:val="00EA2FC1"/>
    <w:rsid w:val="00EA3812"/>
    <w:rsid w:val="00EA4269"/>
    <w:rsid w:val="00EA4689"/>
    <w:rsid w:val="00EA4E07"/>
    <w:rsid w:val="00EA61BA"/>
    <w:rsid w:val="00EA6713"/>
    <w:rsid w:val="00EA7305"/>
    <w:rsid w:val="00EA7309"/>
    <w:rsid w:val="00EA7452"/>
    <w:rsid w:val="00EA7E3D"/>
    <w:rsid w:val="00EB0208"/>
    <w:rsid w:val="00EB05CF"/>
    <w:rsid w:val="00EB1CD4"/>
    <w:rsid w:val="00EB34B8"/>
    <w:rsid w:val="00EB3B59"/>
    <w:rsid w:val="00EB3C5F"/>
    <w:rsid w:val="00EB4611"/>
    <w:rsid w:val="00EB4886"/>
    <w:rsid w:val="00EB57FD"/>
    <w:rsid w:val="00EB6013"/>
    <w:rsid w:val="00EB67CD"/>
    <w:rsid w:val="00EB7834"/>
    <w:rsid w:val="00EC03A9"/>
    <w:rsid w:val="00EC06FB"/>
    <w:rsid w:val="00EC0D8D"/>
    <w:rsid w:val="00EC260C"/>
    <w:rsid w:val="00EC2798"/>
    <w:rsid w:val="00EC27AB"/>
    <w:rsid w:val="00EC3947"/>
    <w:rsid w:val="00EC3C3D"/>
    <w:rsid w:val="00EC428F"/>
    <w:rsid w:val="00EC43A3"/>
    <w:rsid w:val="00EC46C4"/>
    <w:rsid w:val="00EC4C20"/>
    <w:rsid w:val="00EC4C3F"/>
    <w:rsid w:val="00EC504A"/>
    <w:rsid w:val="00EC569A"/>
    <w:rsid w:val="00EC61AE"/>
    <w:rsid w:val="00EC6A2F"/>
    <w:rsid w:val="00ED1F22"/>
    <w:rsid w:val="00ED21C3"/>
    <w:rsid w:val="00ED246A"/>
    <w:rsid w:val="00ED2B2F"/>
    <w:rsid w:val="00ED2BA8"/>
    <w:rsid w:val="00ED2C03"/>
    <w:rsid w:val="00ED397B"/>
    <w:rsid w:val="00ED4D54"/>
    <w:rsid w:val="00ED6919"/>
    <w:rsid w:val="00ED71BA"/>
    <w:rsid w:val="00EE1225"/>
    <w:rsid w:val="00EE1927"/>
    <w:rsid w:val="00EE2663"/>
    <w:rsid w:val="00EE3877"/>
    <w:rsid w:val="00EE3E76"/>
    <w:rsid w:val="00EE3F87"/>
    <w:rsid w:val="00EE42D3"/>
    <w:rsid w:val="00EE5E58"/>
    <w:rsid w:val="00EE6DF4"/>
    <w:rsid w:val="00EE7CC3"/>
    <w:rsid w:val="00EF0C1A"/>
    <w:rsid w:val="00EF21D5"/>
    <w:rsid w:val="00EF2D84"/>
    <w:rsid w:val="00EF3C10"/>
    <w:rsid w:val="00EF3DCA"/>
    <w:rsid w:val="00EF3E66"/>
    <w:rsid w:val="00EF4914"/>
    <w:rsid w:val="00EF4972"/>
    <w:rsid w:val="00EF63BF"/>
    <w:rsid w:val="00EF6FFA"/>
    <w:rsid w:val="00EF7382"/>
    <w:rsid w:val="00EF7B41"/>
    <w:rsid w:val="00EF7D1D"/>
    <w:rsid w:val="00F00145"/>
    <w:rsid w:val="00F00980"/>
    <w:rsid w:val="00F01154"/>
    <w:rsid w:val="00F01D17"/>
    <w:rsid w:val="00F02597"/>
    <w:rsid w:val="00F026B9"/>
    <w:rsid w:val="00F028DA"/>
    <w:rsid w:val="00F03D75"/>
    <w:rsid w:val="00F03EA6"/>
    <w:rsid w:val="00F04733"/>
    <w:rsid w:val="00F04A84"/>
    <w:rsid w:val="00F062CC"/>
    <w:rsid w:val="00F066BB"/>
    <w:rsid w:val="00F06C88"/>
    <w:rsid w:val="00F10FC1"/>
    <w:rsid w:val="00F11040"/>
    <w:rsid w:val="00F1187B"/>
    <w:rsid w:val="00F11EB5"/>
    <w:rsid w:val="00F1232D"/>
    <w:rsid w:val="00F12959"/>
    <w:rsid w:val="00F13395"/>
    <w:rsid w:val="00F13633"/>
    <w:rsid w:val="00F14D66"/>
    <w:rsid w:val="00F14EC4"/>
    <w:rsid w:val="00F15086"/>
    <w:rsid w:val="00F16F51"/>
    <w:rsid w:val="00F17578"/>
    <w:rsid w:val="00F178FF"/>
    <w:rsid w:val="00F203C4"/>
    <w:rsid w:val="00F20BEE"/>
    <w:rsid w:val="00F20D2C"/>
    <w:rsid w:val="00F20EF5"/>
    <w:rsid w:val="00F217FF"/>
    <w:rsid w:val="00F23B1C"/>
    <w:rsid w:val="00F25055"/>
    <w:rsid w:val="00F27BEB"/>
    <w:rsid w:val="00F3023F"/>
    <w:rsid w:val="00F30E92"/>
    <w:rsid w:val="00F31487"/>
    <w:rsid w:val="00F32155"/>
    <w:rsid w:val="00F3292C"/>
    <w:rsid w:val="00F333C3"/>
    <w:rsid w:val="00F33493"/>
    <w:rsid w:val="00F33CF7"/>
    <w:rsid w:val="00F343C8"/>
    <w:rsid w:val="00F3443C"/>
    <w:rsid w:val="00F353FB"/>
    <w:rsid w:val="00F365C4"/>
    <w:rsid w:val="00F36D48"/>
    <w:rsid w:val="00F36FA4"/>
    <w:rsid w:val="00F40AF8"/>
    <w:rsid w:val="00F414D8"/>
    <w:rsid w:val="00F4167C"/>
    <w:rsid w:val="00F41F79"/>
    <w:rsid w:val="00F422D3"/>
    <w:rsid w:val="00F4270D"/>
    <w:rsid w:val="00F428CC"/>
    <w:rsid w:val="00F44458"/>
    <w:rsid w:val="00F447DA"/>
    <w:rsid w:val="00F44E6E"/>
    <w:rsid w:val="00F455D0"/>
    <w:rsid w:val="00F45E17"/>
    <w:rsid w:val="00F5053E"/>
    <w:rsid w:val="00F50DAE"/>
    <w:rsid w:val="00F52990"/>
    <w:rsid w:val="00F54671"/>
    <w:rsid w:val="00F551A3"/>
    <w:rsid w:val="00F55E58"/>
    <w:rsid w:val="00F56115"/>
    <w:rsid w:val="00F561EC"/>
    <w:rsid w:val="00F569A1"/>
    <w:rsid w:val="00F57480"/>
    <w:rsid w:val="00F57AA0"/>
    <w:rsid w:val="00F57B22"/>
    <w:rsid w:val="00F60480"/>
    <w:rsid w:val="00F60C5B"/>
    <w:rsid w:val="00F611DC"/>
    <w:rsid w:val="00F62084"/>
    <w:rsid w:val="00F620EC"/>
    <w:rsid w:val="00F620FF"/>
    <w:rsid w:val="00F622AC"/>
    <w:rsid w:val="00F64813"/>
    <w:rsid w:val="00F65268"/>
    <w:rsid w:val="00F66C32"/>
    <w:rsid w:val="00F67DEA"/>
    <w:rsid w:val="00F70150"/>
    <w:rsid w:val="00F7062D"/>
    <w:rsid w:val="00F70E12"/>
    <w:rsid w:val="00F71952"/>
    <w:rsid w:val="00F741B5"/>
    <w:rsid w:val="00F745C0"/>
    <w:rsid w:val="00F74999"/>
    <w:rsid w:val="00F74C7E"/>
    <w:rsid w:val="00F76109"/>
    <w:rsid w:val="00F767CF"/>
    <w:rsid w:val="00F77719"/>
    <w:rsid w:val="00F800B3"/>
    <w:rsid w:val="00F80BB9"/>
    <w:rsid w:val="00F82671"/>
    <w:rsid w:val="00F82D25"/>
    <w:rsid w:val="00F837B9"/>
    <w:rsid w:val="00F83FEA"/>
    <w:rsid w:val="00F84362"/>
    <w:rsid w:val="00F868DD"/>
    <w:rsid w:val="00F86DFC"/>
    <w:rsid w:val="00F90312"/>
    <w:rsid w:val="00F90C10"/>
    <w:rsid w:val="00F928A9"/>
    <w:rsid w:val="00F94B82"/>
    <w:rsid w:val="00F94E65"/>
    <w:rsid w:val="00F96139"/>
    <w:rsid w:val="00F961ED"/>
    <w:rsid w:val="00F973E0"/>
    <w:rsid w:val="00FA3C2B"/>
    <w:rsid w:val="00FA3EAD"/>
    <w:rsid w:val="00FA3FD5"/>
    <w:rsid w:val="00FA5788"/>
    <w:rsid w:val="00FA5FDE"/>
    <w:rsid w:val="00FA7155"/>
    <w:rsid w:val="00FB0D3E"/>
    <w:rsid w:val="00FB1536"/>
    <w:rsid w:val="00FB18B9"/>
    <w:rsid w:val="00FB21BC"/>
    <w:rsid w:val="00FB3102"/>
    <w:rsid w:val="00FB31CC"/>
    <w:rsid w:val="00FB3D51"/>
    <w:rsid w:val="00FB4051"/>
    <w:rsid w:val="00FB51DA"/>
    <w:rsid w:val="00FB526C"/>
    <w:rsid w:val="00FB53FA"/>
    <w:rsid w:val="00FB6275"/>
    <w:rsid w:val="00FB756F"/>
    <w:rsid w:val="00FB7BCD"/>
    <w:rsid w:val="00FC119C"/>
    <w:rsid w:val="00FC368A"/>
    <w:rsid w:val="00FC3D34"/>
    <w:rsid w:val="00FC3E94"/>
    <w:rsid w:val="00FC4F47"/>
    <w:rsid w:val="00FC5612"/>
    <w:rsid w:val="00FC5B56"/>
    <w:rsid w:val="00FC5BD1"/>
    <w:rsid w:val="00FC6FD8"/>
    <w:rsid w:val="00FD0AE9"/>
    <w:rsid w:val="00FD1902"/>
    <w:rsid w:val="00FD1A67"/>
    <w:rsid w:val="00FD37AC"/>
    <w:rsid w:val="00FD3B87"/>
    <w:rsid w:val="00FD4632"/>
    <w:rsid w:val="00FD69E0"/>
    <w:rsid w:val="00FD7DAB"/>
    <w:rsid w:val="00FE0A01"/>
    <w:rsid w:val="00FE2225"/>
    <w:rsid w:val="00FE4DCF"/>
    <w:rsid w:val="00FE67C2"/>
    <w:rsid w:val="00FE7406"/>
    <w:rsid w:val="00FF0EF3"/>
    <w:rsid w:val="00FF0F1D"/>
    <w:rsid w:val="00FF0F38"/>
    <w:rsid w:val="00FF1440"/>
    <w:rsid w:val="00FF2DC3"/>
    <w:rsid w:val="00FF39E4"/>
    <w:rsid w:val="00FF40A4"/>
    <w:rsid w:val="00FF58B6"/>
    <w:rsid w:val="00FF5E9E"/>
    <w:rsid w:val="00FF610C"/>
    <w:rsid w:val="00FF6A93"/>
    <w:rsid w:val="0C99AC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7D20B6"/>
  <w15:docId w15:val="{6919CE26-11CE-41FD-A913-D7F6E4EF9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2F3"/>
    <w:pPr>
      <w:spacing w:before="120" w:line="360" w:lineRule="auto"/>
      <w:jc w:val="both"/>
    </w:pPr>
    <w:rPr>
      <w:rFonts w:eastAsiaTheme="minorHAnsi" w:cstheme="minorBidi"/>
      <w:sz w:val="24"/>
      <w:szCs w:val="22"/>
      <w:lang w:val="en-CA" w:eastAsia="en-US"/>
    </w:rPr>
  </w:style>
  <w:style w:type="paragraph" w:styleId="Heading1">
    <w:name w:val="heading 1"/>
    <w:basedOn w:val="Normal"/>
    <w:next w:val="Normal"/>
    <w:link w:val="Heading1Char"/>
    <w:uiPriority w:val="9"/>
    <w:qFormat/>
    <w:locked/>
    <w:rsid w:val="001367A6"/>
    <w:pPr>
      <w:keepNext/>
      <w:keepLines/>
      <w:pBdr>
        <w:top w:val="nil"/>
        <w:left w:val="nil"/>
        <w:bottom w:val="nil"/>
        <w:right w:val="nil"/>
        <w:between w:val="nil"/>
        <w:bar w:val="nil"/>
      </w:pBdr>
      <w:spacing w:before="480" w:after="120"/>
      <w:outlineLvl w:val="0"/>
    </w:pPr>
    <w:rPr>
      <w:rFonts w:eastAsia="Arial Unicode MS"/>
      <w:b/>
      <w:bCs/>
      <w:sz w:val="36"/>
      <w:szCs w:val="48"/>
      <w:bdr w:val="nil"/>
      <w:lang w:val="en-US"/>
    </w:rPr>
  </w:style>
  <w:style w:type="paragraph" w:styleId="Heading2">
    <w:name w:val="heading 2"/>
    <w:basedOn w:val="Normal"/>
    <w:next w:val="Normal"/>
    <w:link w:val="Heading2Char"/>
    <w:uiPriority w:val="9"/>
    <w:qFormat/>
    <w:locked/>
    <w:rsid w:val="001367A6"/>
    <w:pPr>
      <w:keepNext/>
      <w:keepLines/>
      <w:pBdr>
        <w:top w:val="nil"/>
        <w:left w:val="nil"/>
        <w:bottom w:val="nil"/>
        <w:right w:val="nil"/>
        <w:between w:val="nil"/>
        <w:bar w:val="nil"/>
      </w:pBdr>
      <w:spacing w:before="360" w:after="80"/>
      <w:outlineLvl w:val="1"/>
    </w:pPr>
    <w:rPr>
      <w:rFonts w:eastAsia="Arial Unicode MS"/>
      <w:b/>
      <w:bCs/>
      <w:sz w:val="32"/>
      <w:szCs w:val="36"/>
      <w:bdr w:val="nil"/>
      <w:lang w:val="en-US"/>
    </w:rPr>
  </w:style>
  <w:style w:type="paragraph" w:styleId="Heading3">
    <w:name w:val="heading 3"/>
    <w:basedOn w:val="Normal"/>
    <w:next w:val="Normal"/>
    <w:link w:val="Heading3Char"/>
    <w:uiPriority w:val="9"/>
    <w:qFormat/>
    <w:locked/>
    <w:rsid w:val="001367A6"/>
    <w:pPr>
      <w:keepNext/>
      <w:keepLines/>
      <w:spacing w:before="160"/>
      <w:outlineLvl w:val="2"/>
    </w:pPr>
    <w:rPr>
      <w:b/>
      <w:bCs/>
      <w:sz w:val="28"/>
      <w:szCs w:val="28"/>
    </w:rPr>
  </w:style>
  <w:style w:type="paragraph" w:styleId="Heading4">
    <w:name w:val="heading 4"/>
    <w:basedOn w:val="Normal"/>
    <w:next w:val="Normal"/>
    <w:link w:val="Heading4Char"/>
    <w:uiPriority w:val="9"/>
    <w:unhideWhenUsed/>
    <w:qFormat/>
    <w:locked/>
    <w:rsid w:val="00523CC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61822"/>
    <w:pPr>
      <w:spacing w:before="100" w:beforeAutospacing="1" w:after="100" w:afterAutospacing="1"/>
    </w:pPr>
  </w:style>
  <w:style w:type="character" w:styleId="Strong">
    <w:name w:val="Strong"/>
    <w:uiPriority w:val="99"/>
    <w:qFormat/>
    <w:rsid w:val="00461822"/>
    <w:rPr>
      <w:rFonts w:cs="Times New Roman"/>
      <w:b/>
      <w:bCs/>
    </w:rPr>
  </w:style>
  <w:style w:type="character" w:styleId="Hyperlink">
    <w:name w:val="Hyperlink"/>
    <w:uiPriority w:val="99"/>
    <w:rsid w:val="00461822"/>
    <w:rPr>
      <w:rFonts w:cs="Times New Roman"/>
      <w:color w:val="0000FF"/>
      <w:u w:val="single"/>
    </w:rPr>
  </w:style>
  <w:style w:type="character" w:styleId="Emphasis">
    <w:name w:val="Emphasis"/>
    <w:uiPriority w:val="20"/>
    <w:qFormat/>
    <w:rsid w:val="00461822"/>
    <w:rPr>
      <w:rFonts w:cs="Times New Roman"/>
      <w:i/>
      <w:iCs/>
    </w:rPr>
  </w:style>
  <w:style w:type="table" w:styleId="TableGrid">
    <w:name w:val="Table Grid"/>
    <w:basedOn w:val="TableNormal"/>
    <w:uiPriority w:val="99"/>
    <w:rsid w:val="002640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523CC2"/>
    <w:pPr>
      <w:shd w:val="pct15" w:color="auto" w:fill="auto"/>
      <w:spacing w:after="200" w:line="240" w:lineRule="auto"/>
    </w:pPr>
    <w:rPr>
      <w:rFonts w:eastAsia="Calibri"/>
      <w:sz w:val="18"/>
      <w:szCs w:val="18"/>
    </w:rPr>
  </w:style>
  <w:style w:type="character" w:customStyle="1" w:styleId="BalloonTextChar">
    <w:name w:val="Balloon Text Char"/>
    <w:basedOn w:val="DefaultParagraphFont"/>
    <w:link w:val="BalloonText"/>
    <w:uiPriority w:val="99"/>
    <w:locked/>
    <w:rsid w:val="00523CC2"/>
    <w:rPr>
      <w:rFonts w:eastAsia="Calibri" w:cstheme="minorBidi"/>
      <w:sz w:val="18"/>
      <w:szCs w:val="18"/>
      <w:shd w:val="pct15" w:color="auto" w:fill="auto"/>
      <w:lang w:val="en-CA" w:eastAsia="en-US"/>
    </w:rPr>
  </w:style>
  <w:style w:type="character" w:styleId="PlaceholderText">
    <w:name w:val="Placeholder Text"/>
    <w:basedOn w:val="DefaultParagraphFont"/>
    <w:uiPriority w:val="99"/>
    <w:semiHidden/>
    <w:rsid w:val="001670F5"/>
    <w:rPr>
      <w:color w:val="808080"/>
    </w:rPr>
  </w:style>
  <w:style w:type="character" w:styleId="FollowedHyperlink">
    <w:name w:val="FollowedHyperlink"/>
    <w:basedOn w:val="DefaultParagraphFont"/>
    <w:uiPriority w:val="99"/>
    <w:semiHidden/>
    <w:unhideWhenUsed/>
    <w:rsid w:val="00432DEB"/>
    <w:rPr>
      <w:color w:val="800080" w:themeColor="followedHyperlink"/>
      <w:u w:val="single"/>
    </w:rPr>
  </w:style>
  <w:style w:type="character" w:customStyle="1" w:styleId="Heading1Char">
    <w:name w:val="Heading 1 Char"/>
    <w:basedOn w:val="DefaultParagraphFont"/>
    <w:link w:val="Heading1"/>
    <w:uiPriority w:val="9"/>
    <w:rsid w:val="001367A6"/>
    <w:rPr>
      <w:rFonts w:eastAsia="Arial Unicode MS" w:cstheme="minorBidi"/>
      <w:b/>
      <w:bCs/>
      <w:sz w:val="36"/>
      <w:szCs w:val="48"/>
      <w:bdr w:val="nil"/>
      <w:lang w:val="en-US" w:eastAsia="en-US"/>
    </w:rPr>
  </w:style>
  <w:style w:type="character" w:customStyle="1" w:styleId="Heading2Char">
    <w:name w:val="Heading 2 Char"/>
    <w:basedOn w:val="DefaultParagraphFont"/>
    <w:link w:val="Heading2"/>
    <w:uiPriority w:val="9"/>
    <w:rsid w:val="001367A6"/>
    <w:rPr>
      <w:rFonts w:eastAsia="Arial Unicode MS" w:cstheme="minorBidi"/>
      <w:b/>
      <w:bCs/>
      <w:sz w:val="32"/>
      <w:szCs w:val="36"/>
      <w:bdr w:val="nil"/>
      <w:lang w:val="en-US" w:eastAsia="en-US"/>
    </w:rPr>
  </w:style>
  <w:style w:type="character" w:customStyle="1" w:styleId="Heading3Char">
    <w:name w:val="Heading 3 Char"/>
    <w:basedOn w:val="DefaultParagraphFont"/>
    <w:link w:val="Heading3"/>
    <w:uiPriority w:val="9"/>
    <w:rsid w:val="001367A6"/>
    <w:rPr>
      <w:rFonts w:eastAsiaTheme="minorHAnsi" w:cstheme="minorBidi"/>
      <w:b/>
      <w:bCs/>
      <w:sz w:val="28"/>
      <w:szCs w:val="28"/>
      <w:lang w:val="en-CA" w:eastAsia="en-US"/>
    </w:rPr>
  </w:style>
  <w:style w:type="character" w:customStyle="1" w:styleId="Heading4Char">
    <w:name w:val="Heading 4 Char"/>
    <w:basedOn w:val="DefaultParagraphFont"/>
    <w:link w:val="Heading4"/>
    <w:uiPriority w:val="9"/>
    <w:rsid w:val="00523CC2"/>
    <w:rPr>
      <w:rFonts w:eastAsiaTheme="majorEastAsia" w:cstheme="majorBidi"/>
      <w:b/>
      <w:bCs/>
      <w:iCs/>
      <w:sz w:val="24"/>
      <w:szCs w:val="22"/>
      <w:lang w:val="en-CA" w:eastAsia="en-US"/>
    </w:rPr>
  </w:style>
  <w:style w:type="paragraph" w:styleId="Title">
    <w:name w:val="Title"/>
    <w:basedOn w:val="Normal"/>
    <w:next w:val="Normal"/>
    <w:link w:val="TitleChar"/>
    <w:uiPriority w:val="10"/>
    <w:qFormat/>
    <w:locked/>
    <w:rsid w:val="00523CC2"/>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523CC2"/>
    <w:rPr>
      <w:rFonts w:eastAsiaTheme="majorEastAsia" w:cstheme="majorBidi"/>
      <w:b/>
      <w:spacing w:val="-10"/>
      <w:kern w:val="28"/>
      <w:sz w:val="36"/>
      <w:szCs w:val="56"/>
      <w:lang w:val="en-CA" w:eastAsia="en-US"/>
    </w:rPr>
  </w:style>
  <w:style w:type="character" w:styleId="UnresolvedMention">
    <w:name w:val="Unresolved Mention"/>
    <w:basedOn w:val="DefaultParagraphFont"/>
    <w:uiPriority w:val="99"/>
    <w:semiHidden/>
    <w:unhideWhenUsed/>
    <w:rsid w:val="00CA0323"/>
    <w:rPr>
      <w:color w:val="605E5C"/>
      <w:shd w:val="clear" w:color="auto" w:fill="E1DFDD"/>
    </w:rPr>
  </w:style>
  <w:style w:type="paragraph" w:customStyle="1" w:styleId="Authors">
    <w:name w:val="Authors"/>
    <w:basedOn w:val="Normal"/>
    <w:rsid w:val="00686056"/>
    <w:pPr>
      <w:spacing w:after="360" w:line="240" w:lineRule="auto"/>
      <w:jc w:val="center"/>
    </w:pPr>
    <w:rPr>
      <w:rFonts w:eastAsia="Times New Roman" w:cs="Times New Roman"/>
      <w:szCs w:val="24"/>
      <w:lang w:val="en-US"/>
    </w:rPr>
  </w:style>
  <w:style w:type="paragraph" w:customStyle="1" w:styleId="Head">
    <w:name w:val="Head"/>
    <w:basedOn w:val="Normal"/>
    <w:rsid w:val="00686056"/>
    <w:pPr>
      <w:keepNext/>
      <w:spacing w:after="120" w:line="240" w:lineRule="auto"/>
      <w:jc w:val="center"/>
      <w:outlineLvl w:val="0"/>
    </w:pPr>
    <w:rPr>
      <w:rFonts w:eastAsia="Times New Roman" w:cs="Times New Roman"/>
      <w:b/>
      <w:bCs/>
      <w:kern w:val="28"/>
      <w:sz w:val="28"/>
      <w:szCs w:val="28"/>
      <w:lang w:val="en-US"/>
    </w:rPr>
  </w:style>
  <w:style w:type="paragraph" w:customStyle="1" w:styleId="AbstractSummary">
    <w:name w:val="Abstract/Summary"/>
    <w:basedOn w:val="Normal"/>
    <w:rsid w:val="00686056"/>
    <w:pPr>
      <w:spacing w:line="240" w:lineRule="auto"/>
      <w:jc w:val="left"/>
    </w:pPr>
    <w:rPr>
      <w:rFonts w:eastAsia="Times New Roman" w:cs="Times New Roman"/>
      <w:szCs w:val="24"/>
      <w:lang w:val="en-US"/>
    </w:rPr>
  </w:style>
  <w:style w:type="paragraph" w:customStyle="1" w:styleId="Paragraph">
    <w:name w:val="Paragraph"/>
    <w:basedOn w:val="Normal"/>
    <w:rsid w:val="00686056"/>
    <w:pPr>
      <w:spacing w:line="240" w:lineRule="auto"/>
      <w:ind w:firstLine="720"/>
      <w:jc w:val="left"/>
    </w:pPr>
    <w:rPr>
      <w:rFonts w:eastAsia="Times New Roman" w:cs="Times New Roman"/>
      <w:szCs w:val="24"/>
      <w:lang w:val="en-US"/>
    </w:rPr>
  </w:style>
  <w:style w:type="paragraph" w:customStyle="1" w:styleId="Teaser">
    <w:name w:val="Teaser"/>
    <w:basedOn w:val="Normal"/>
    <w:rsid w:val="00F422D3"/>
    <w:pPr>
      <w:spacing w:line="240" w:lineRule="auto"/>
      <w:jc w:val="left"/>
    </w:pPr>
    <w:rPr>
      <w:rFonts w:eastAsia="Times New Roman" w:cs="Times New Roman"/>
      <w:szCs w:val="24"/>
      <w:lang w:val="en-US"/>
    </w:rPr>
  </w:style>
  <w:style w:type="paragraph" w:styleId="Header">
    <w:name w:val="header"/>
    <w:basedOn w:val="Normal"/>
    <w:link w:val="HeaderChar"/>
    <w:uiPriority w:val="99"/>
    <w:unhideWhenUsed/>
    <w:rsid w:val="0074665F"/>
    <w:pPr>
      <w:tabs>
        <w:tab w:val="center" w:pos="4513"/>
        <w:tab w:val="right" w:pos="9026"/>
      </w:tabs>
      <w:spacing w:line="240" w:lineRule="auto"/>
    </w:pPr>
  </w:style>
  <w:style w:type="character" w:customStyle="1" w:styleId="HeaderChar">
    <w:name w:val="Header Char"/>
    <w:basedOn w:val="DefaultParagraphFont"/>
    <w:link w:val="Header"/>
    <w:uiPriority w:val="99"/>
    <w:rsid w:val="0074665F"/>
    <w:rPr>
      <w:rFonts w:eastAsiaTheme="minorHAnsi" w:cstheme="minorBidi"/>
      <w:sz w:val="24"/>
      <w:szCs w:val="22"/>
      <w:lang w:val="en-CA" w:eastAsia="en-US"/>
    </w:rPr>
  </w:style>
  <w:style w:type="paragraph" w:styleId="Footer">
    <w:name w:val="footer"/>
    <w:basedOn w:val="Normal"/>
    <w:link w:val="FooterChar"/>
    <w:uiPriority w:val="99"/>
    <w:unhideWhenUsed/>
    <w:rsid w:val="0074665F"/>
    <w:pPr>
      <w:tabs>
        <w:tab w:val="center" w:pos="4513"/>
        <w:tab w:val="right" w:pos="9026"/>
      </w:tabs>
      <w:spacing w:line="240" w:lineRule="auto"/>
    </w:pPr>
  </w:style>
  <w:style w:type="character" w:customStyle="1" w:styleId="FooterChar">
    <w:name w:val="Footer Char"/>
    <w:basedOn w:val="DefaultParagraphFont"/>
    <w:link w:val="Footer"/>
    <w:uiPriority w:val="99"/>
    <w:rsid w:val="0074665F"/>
    <w:rPr>
      <w:rFonts w:eastAsiaTheme="minorHAnsi" w:cstheme="minorBidi"/>
      <w:sz w:val="24"/>
      <w:szCs w:val="22"/>
      <w:lang w:val="en-CA" w:eastAsia="en-US"/>
    </w:rPr>
  </w:style>
  <w:style w:type="paragraph" w:styleId="Revision">
    <w:name w:val="Revision"/>
    <w:hidden/>
    <w:uiPriority w:val="99"/>
    <w:semiHidden/>
    <w:rsid w:val="0036085A"/>
    <w:rPr>
      <w:rFonts w:eastAsiaTheme="minorHAnsi" w:cstheme="minorBidi"/>
      <w:sz w:val="24"/>
      <w:szCs w:val="22"/>
      <w:lang w:val="en-CA" w:eastAsia="en-US"/>
    </w:rPr>
  </w:style>
  <w:style w:type="character" w:styleId="CommentReference">
    <w:name w:val="annotation reference"/>
    <w:basedOn w:val="DefaultParagraphFont"/>
    <w:uiPriority w:val="99"/>
    <w:semiHidden/>
    <w:unhideWhenUsed/>
    <w:rsid w:val="00694F44"/>
    <w:rPr>
      <w:sz w:val="16"/>
      <w:szCs w:val="16"/>
    </w:rPr>
  </w:style>
  <w:style w:type="paragraph" w:styleId="CommentText">
    <w:name w:val="annotation text"/>
    <w:basedOn w:val="Normal"/>
    <w:link w:val="CommentTextChar"/>
    <w:uiPriority w:val="99"/>
    <w:semiHidden/>
    <w:unhideWhenUsed/>
    <w:rsid w:val="00694F44"/>
    <w:pPr>
      <w:spacing w:line="240" w:lineRule="auto"/>
    </w:pPr>
    <w:rPr>
      <w:sz w:val="20"/>
      <w:szCs w:val="20"/>
    </w:rPr>
  </w:style>
  <w:style w:type="character" w:customStyle="1" w:styleId="CommentTextChar">
    <w:name w:val="Comment Text Char"/>
    <w:basedOn w:val="DefaultParagraphFont"/>
    <w:link w:val="CommentText"/>
    <w:uiPriority w:val="99"/>
    <w:semiHidden/>
    <w:rsid w:val="00694F44"/>
    <w:rPr>
      <w:rFonts w:eastAsiaTheme="minorHAnsi" w:cstheme="minorBidi"/>
      <w:lang w:val="en-CA" w:eastAsia="en-US"/>
    </w:rPr>
  </w:style>
  <w:style w:type="paragraph" w:styleId="CommentSubject">
    <w:name w:val="annotation subject"/>
    <w:basedOn w:val="CommentText"/>
    <w:next w:val="CommentText"/>
    <w:link w:val="CommentSubjectChar"/>
    <w:uiPriority w:val="99"/>
    <w:semiHidden/>
    <w:unhideWhenUsed/>
    <w:rsid w:val="00694F44"/>
    <w:rPr>
      <w:b/>
      <w:bCs/>
    </w:rPr>
  </w:style>
  <w:style w:type="character" w:customStyle="1" w:styleId="CommentSubjectChar">
    <w:name w:val="Comment Subject Char"/>
    <w:basedOn w:val="CommentTextChar"/>
    <w:link w:val="CommentSubject"/>
    <w:uiPriority w:val="99"/>
    <w:semiHidden/>
    <w:rsid w:val="00694F44"/>
    <w:rPr>
      <w:rFonts w:eastAsiaTheme="minorHAnsi" w:cstheme="minorBidi"/>
      <w:b/>
      <w:bCs/>
      <w:lang w:val="en-CA" w:eastAsia="en-US"/>
    </w:rPr>
  </w:style>
  <w:style w:type="paragraph" w:styleId="ListParagraph">
    <w:name w:val="List Paragraph"/>
    <w:basedOn w:val="Normal"/>
    <w:uiPriority w:val="34"/>
    <w:qFormat/>
    <w:rsid w:val="00DC0A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465335">
      <w:bodyDiv w:val="1"/>
      <w:marLeft w:val="0"/>
      <w:marRight w:val="0"/>
      <w:marTop w:val="0"/>
      <w:marBottom w:val="0"/>
      <w:divBdr>
        <w:top w:val="none" w:sz="0" w:space="0" w:color="auto"/>
        <w:left w:val="none" w:sz="0" w:space="0" w:color="auto"/>
        <w:bottom w:val="none" w:sz="0" w:space="0" w:color="auto"/>
        <w:right w:val="none" w:sz="0" w:space="0" w:color="auto"/>
      </w:divBdr>
    </w:div>
    <w:div w:id="1352104656">
      <w:marLeft w:val="0"/>
      <w:marRight w:val="0"/>
      <w:marTop w:val="0"/>
      <w:marBottom w:val="0"/>
      <w:divBdr>
        <w:top w:val="none" w:sz="0" w:space="0" w:color="auto"/>
        <w:left w:val="none" w:sz="0" w:space="0" w:color="auto"/>
        <w:bottom w:val="none" w:sz="0" w:space="0" w:color="auto"/>
        <w:right w:val="none" w:sz="0" w:space="0" w:color="auto"/>
      </w:divBdr>
      <w:divsChild>
        <w:div w:id="1352104659">
          <w:marLeft w:val="0"/>
          <w:marRight w:val="0"/>
          <w:marTop w:val="0"/>
          <w:marBottom w:val="0"/>
          <w:divBdr>
            <w:top w:val="none" w:sz="0" w:space="0" w:color="auto"/>
            <w:left w:val="none" w:sz="0" w:space="0" w:color="auto"/>
            <w:bottom w:val="none" w:sz="0" w:space="0" w:color="auto"/>
            <w:right w:val="none" w:sz="0" w:space="0" w:color="auto"/>
          </w:divBdr>
          <w:divsChild>
            <w:div w:id="1352104661">
              <w:marLeft w:val="0"/>
              <w:marRight w:val="0"/>
              <w:marTop w:val="0"/>
              <w:marBottom w:val="0"/>
              <w:divBdr>
                <w:top w:val="none" w:sz="0" w:space="0" w:color="auto"/>
                <w:left w:val="none" w:sz="0" w:space="0" w:color="auto"/>
                <w:bottom w:val="none" w:sz="0" w:space="0" w:color="auto"/>
                <w:right w:val="none" w:sz="0" w:space="0" w:color="auto"/>
              </w:divBdr>
            </w:div>
          </w:divsChild>
        </w:div>
        <w:div w:id="1352104660">
          <w:marLeft w:val="0"/>
          <w:marRight w:val="0"/>
          <w:marTop w:val="0"/>
          <w:marBottom w:val="0"/>
          <w:divBdr>
            <w:top w:val="none" w:sz="0" w:space="0" w:color="auto"/>
            <w:left w:val="none" w:sz="0" w:space="0" w:color="auto"/>
            <w:bottom w:val="none" w:sz="0" w:space="0" w:color="auto"/>
            <w:right w:val="none" w:sz="0" w:space="0" w:color="auto"/>
          </w:divBdr>
          <w:divsChild>
            <w:div w:id="1352104664">
              <w:marLeft w:val="0"/>
              <w:marRight w:val="0"/>
              <w:marTop w:val="0"/>
              <w:marBottom w:val="0"/>
              <w:divBdr>
                <w:top w:val="none" w:sz="0" w:space="0" w:color="auto"/>
                <w:left w:val="none" w:sz="0" w:space="0" w:color="auto"/>
                <w:bottom w:val="none" w:sz="0" w:space="0" w:color="auto"/>
                <w:right w:val="none" w:sz="0" w:space="0" w:color="auto"/>
              </w:divBdr>
            </w:div>
            <w:div w:id="1352104668">
              <w:marLeft w:val="0"/>
              <w:marRight w:val="0"/>
              <w:marTop w:val="0"/>
              <w:marBottom w:val="0"/>
              <w:divBdr>
                <w:top w:val="none" w:sz="0" w:space="0" w:color="auto"/>
                <w:left w:val="none" w:sz="0" w:space="0" w:color="auto"/>
                <w:bottom w:val="none" w:sz="0" w:space="0" w:color="auto"/>
                <w:right w:val="none" w:sz="0" w:space="0" w:color="auto"/>
              </w:divBdr>
            </w:div>
          </w:divsChild>
        </w:div>
        <w:div w:id="1352104666">
          <w:marLeft w:val="0"/>
          <w:marRight w:val="0"/>
          <w:marTop w:val="0"/>
          <w:marBottom w:val="0"/>
          <w:divBdr>
            <w:top w:val="none" w:sz="0" w:space="0" w:color="auto"/>
            <w:left w:val="none" w:sz="0" w:space="0" w:color="auto"/>
            <w:bottom w:val="none" w:sz="0" w:space="0" w:color="auto"/>
            <w:right w:val="none" w:sz="0" w:space="0" w:color="auto"/>
          </w:divBdr>
        </w:div>
      </w:divsChild>
    </w:div>
    <w:div w:id="1352104657">
      <w:marLeft w:val="0"/>
      <w:marRight w:val="0"/>
      <w:marTop w:val="0"/>
      <w:marBottom w:val="0"/>
      <w:divBdr>
        <w:top w:val="none" w:sz="0" w:space="0" w:color="auto"/>
        <w:left w:val="none" w:sz="0" w:space="0" w:color="auto"/>
        <w:bottom w:val="none" w:sz="0" w:space="0" w:color="auto"/>
        <w:right w:val="none" w:sz="0" w:space="0" w:color="auto"/>
      </w:divBdr>
    </w:div>
    <w:div w:id="1352104662">
      <w:marLeft w:val="0"/>
      <w:marRight w:val="0"/>
      <w:marTop w:val="0"/>
      <w:marBottom w:val="0"/>
      <w:divBdr>
        <w:top w:val="none" w:sz="0" w:space="0" w:color="auto"/>
        <w:left w:val="none" w:sz="0" w:space="0" w:color="auto"/>
        <w:bottom w:val="none" w:sz="0" w:space="0" w:color="auto"/>
        <w:right w:val="none" w:sz="0" w:space="0" w:color="auto"/>
      </w:divBdr>
    </w:div>
    <w:div w:id="1352104663">
      <w:marLeft w:val="0"/>
      <w:marRight w:val="0"/>
      <w:marTop w:val="0"/>
      <w:marBottom w:val="0"/>
      <w:divBdr>
        <w:top w:val="none" w:sz="0" w:space="0" w:color="auto"/>
        <w:left w:val="none" w:sz="0" w:space="0" w:color="auto"/>
        <w:bottom w:val="none" w:sz="0" w:space="0" w:color="auto"/>
        <w:right w:val="none" w:sz="0" w:space="0" w:color="auto"/>
      </w:divBdr>
      <w:divsChild>
        <w:div w:id="1352104658">
          <w:marLeft w:val="0"/>
          <w:marRight w:val="0"/>
          <w:marTop w:val="0"/>
          <w:marBottom w:val="0"/>
          <w:divBdr>
            <w:top w:val="none" w:sz="0" w:space="0" w:color="auto"/>
            <w:left w:val="none" w:sz="0" w:space="0" w:color="auto"/>
            <w:bottom w:val="none" w:sz="0" w:space="0" w:color="auto"/>
            <w:right w:val="none" w:sz="0" w:space="0" w:color="auto"/>
          </w:divBdr>
        </w:div>
      </w:divsChild>
    </w:div>
    <w:div w:id="1352104665">
      <w:marLeft w:val="0"/>
      <w:marRight w:val="0"/>
      <w:marTop w:val="0"/>
      <w:marBottom w:val="0"/>
      <w:divBdr>
        <w:top w:val="none" w:sz="0" w:space="0" w:color="auto"/>
        <w:left w:val="none" w:sz="0" w:space="0" w:color="auto"/>
        <w:bottom w:val="none" w:sz="0" w:space="0" w:color="auto"/>
        <w:right w:val="none" w:sz="0" w:space="0" w:color="auto"/>
      </w:divBdr>
    </w:div>
    <w:div w:id="1352104667">
      <w:marLeft w:val="0"/>
      <w:marRight w:val="0"/>
      <w:marTop w:val="0"/>
      <w:marBottom w:val="0"/>
      <w:divBdr>
        <w:top w:val="none" w:sz="0" w:space="0" w:color="auto"/>
        <w:left w:val="none" w:sz="0" w:space="0" w:color="auto"/>
        <w:bottom w:val="none" w:sz="0" w:space="0" w:color="auto"/>
        <w:right w:val="none" w:sz="0" w:space="0" w:color="auto"/>
      </w:divBdr>
      <w:divsChild>
        <w:div w:id="1352104655">
          <w:marLeft w:val="0"/>
          <w:marRight w:val="0"/>
          <w:marTop w:val="0"/>
          <w:marBottom w:val="0"/>
          <w:divBdr>
            <w:top w:val="none" w:sz="0" w:space="0" w:color="auto"/>
            <w:left w:val="none" w:sz="0" w:space="0" w:color="auto"/>
            <w:bottom w:val="none" w:sz="0" w:space="0" w:color="auto"/>
            <w:right w:val="none" w:sz="0" w:space="0" w:color="auto"/>
          </w:divBdr>
        </w:div>
      </w:divsChild>
    </w:div>
    <w:div w:id="1355233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elham.rostami@uu.se"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D5ABB0-8525-4B8D-B429-1A21AB93D0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D34D0D-679A-42ED-93B4-BAA7A03E34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AB51502-3190-4229-BB4A-6BE6DE64BE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26</Pages>
  <Words>8018</Words>
  <Characters>49558</Characters>
  <Application>Microsoft Office Word</Application>
  <DocSecurity>0</DocSecurity>
  <Lines>1208</Lines>
  <Paragraphs>538</Paragraphs>
  <ScaleCrop>false</ScaleCrop>
  <HeadingPairs>
    <vt:vector size="2" baseType="variant">
      <vt:variant>
        <vt:lpstr>Title</vt:lpstr>
      </vt:variant>
      <vt:variant>
        <vt:i4>1</vt:i4>
      </vt:variant>
    </vt:vector>
  </HeadingPairs>
  <TitlesOfParts>
    <vt:vector size="1" baseType="lpstr">
      <vt:lpstr>Heading is in sentence case, bold, centred and fourteen point</vt:lpstr>
    </vt:vector>
  </TitlesOfParts>
  <Company>Clinical School Computing Service</Company>
  <LinksUpToDate>false</LinksUpToDate>
  <CharactersWithSpaces>57038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is in sentence case, bold, centred and fourteen point</dc:title>
  <dc:creator>at288</dc:creator>
  <cp:lastModifiedBy>Michael S. Baker</cp:lastModifiedBy>
  <cp:revision>2443</cp:revision>
  <cp:lastPrinted>2026-02-02T14:49:00Z</cp:lastPrinted>
  <dcterms:created xsi:type="dcterms:W3CDTF">2023-07-21T08:39:00Z</dcterms:created>
  <dcterms:modified xsi:type="dcterms:W3CDTF">2026-04-01T00:00:00Z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zotero-version="8.0.2-beta.5+c35d7f21e"&gt;&lt;session id="zQ6NYbad"/&gt;&lt;style id="" hasBibliography="0" bibliographyStyleHasBeenSet="0"/&gt;&lt;prefs/&gt;&lt;/data&gt;</vt:lpwstr>
  </property>
</Properties>
</file>