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Architecture Overview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Three-layer model, four ChatAIO modes, and the trade-secret invariants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Frontend  ·  FastAPI  ·  PostgreSQL 15 + pg_trgm  ·  Anthropic Claude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10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The three-layer model (AIO/HSL/MRO), the four ChatAIO retrieval modes (Recall/Live/Broad/Raw), and the three trade-secret invariants that distinguish this system from a conventional embedding-RAG implementation.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Buyer-side and counsel-friendly framing alongside the engineering substance — useful as the canonical first read for technical evaluators, due-diligence reviewers, and new engineers onboarding to the codebase.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The Three Layers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 (Layer 1)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aio_data — aio_name + 50 element columns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Self-describing observation. Bracket-notation tokens. The atom of the system.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 (Relational)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hsl_data + hsl_member — hsl_name + member list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Precomputed pointer set: "all AIOs sharing [Key.Value]". A denormalized inverted-index row, not a graph edge.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 (Layer 2)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mro_objects — query, result, lineage, trust score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Persisted retrieval episode. Used as short-circuit cache and prior-episode hint for fresh retrievals.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Four ChatAIO Modes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5000"/>
      </w:tblGrid>
      <w:tr>
        <w:trPr>
          <w:tblHeader/>
        </w:trP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Retrieval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/v1/op/substrate-chat[/stream]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Client-assembled substrate envelope. MRO short-circuit at score ≥ 0.85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/v1/op/aio-search[/stream]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Server-assembled four-phase: parse → match HSLs → gather AIOs → synthesize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Broad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/v1/op/chat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Dump every AIO/HSL/CSV (capped at 1,000) into the LLM prompt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Raw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/v1/op/pure-llm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Send raw CSV files to the LLM — no AIO/HSL/MRO processing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Trade-Secret Invariants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3.1  Determinism is load-bearing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Every step from query → Cue Set → HSL ids → AIO scope is deterministic. Embedding RAG calls a model to produce a query embedding; we do not. The Cue Set is reproducible across runs, machines, and operators — same query against same corpus always lights the same HSLs. This makes regression testing tractable and makes the retrieval graph an auditable artifact.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3.2  Cues carry concrete keys whenever possible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The HSL catalog (sourced from /v1/hsl-data/key-value-pairs) lets cue extraction emit cues with their original key — [Project.PRJ-003] rather than [*.PRJ-003]. The wildcard form is a fallback. SQL pruning by field equality first, value match second; on the demo corpus this is a 5–20× speed-up vs. the wildcard path.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3.3  The HSL catalog IS the substrate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Embedding RAG treats vectors as a derived index — they accelerate lookup, but truth is in the source documents. Information Physics inverts this: the HSL anchors ARE the truth. Every HSL is a deterministic function of the AIO set, computed offline by synth_hsls_for_aio, and used at query time as a lookup, not a computation.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Why This Matters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4.1  Audit-grade reproducibility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A regulator, an internal auditor, or a counterparty can ask "why did the system answer X?" and the answer is a deterministic graph traversal — not a similarity score against an opaque embedding. Same query, same data, same cue set, same HSLs, same answer. Every time.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4.2  Cost discipline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MRO short-circuit means repeated queries cost zero LLM tokens after first run. Cap-by-CSV diversity ensures we never pay for redundant context just because one CSV is larger. Element-set Jaccard dedup collapses cross-CSV duplicates. On the demo corpus, multi-CSV joins use 60–70% fewer tokens than the equivalent embedding-RAG implementation.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FB7185" w:sz="18"/>
              <w:bottom w:val="none" w:color="FFFFFF" w:sz="0"/>
              <w:right w:val="none" w:color="FFFFFF" w:sz="0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4.3  Data does not leave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In CLOUD_MODE=false (the local DMG), the only outbound network call is to the Anthropic API for the LLM synthesis step. Every retrieval decision happens on the local Mac. Customers with data-residency or air-gap constraints can use the system without exposing the underlying corpus to a cloud service.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Implementation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5200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Frontend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Next.js 16 + React 19 + TypeScript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SPA, ChatAIO dialog, System Management, R&amp;D, References, Benchmark runner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API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FastAPI + Python 3.11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AIO/HSL/MRO CRUD, four-phase aio-search, substrate-chat, mro-search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Database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PostgreSQL 15 + pg_trgm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Source-of-truth storage; inverted index (IER); GIN trigram for fuzzy match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Anthropic Claude (model selectable at runtime)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Synthesis only — every retrieval decision is upstream of the LLM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Hosting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Railway (cloud) + Electron DMG (local)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Same code, three deployment shapes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Demo Dataset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5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AIA305 Sample.csv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474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 portfolio with detailed financials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acc_cost_codes.csv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Cost code catalog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acc_vendors.csv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Vendor records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acc_submittals.csv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14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Document submittals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acc_employees.csv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13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Employee directory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acc_rfis.csv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Requests for information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acc_issues.csv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Field-issue records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acc_customers.csv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Customer directory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acc_projects.csv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 metadata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Total: 589 AIO rows, ≈ 1,200 HSL key-value pairs, 9 source CSVs.</w:t>
      </w:r>
    </w:p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Architecture Overview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Overview</dc:title>
  <dc:creator>Information Physics — ChatAIO Engineering</dc:creator>
  <dc:description>Architecture Overview — V4.5</dc:description>
  <cp:lastModifiedBy>Un-named</cp:lastModifiedBy>
  <cp:revision>1</cp:revision>
  <dcterms:created xsi:type="dcterms:W3CDTF">2026-05-01T14:10:51.164Z</dcterms:created>
  <dcterms:modified xsi:type="dcterms:W3CDTF">2026-05-01T14:10:51.164Z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