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E11D48" w:sz="18"/>
              <w:left w:val="single" w:color="E11D48" w:sz="18"/>
              <w:bottom w:val="single" w:color="E11D48" w:sz="18"/>
              <w:right w:val="single" w:color="E11D48" w:sz="18"/>
            </w:tcBorders>
            <w:shd w:fill="FFF1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E123C"/>
                <w:sz w:val="22"/>
                <w:szCs w:val="22"/>
              </w:rPr>
              <w:t xml:space="preserve">⚠  CONFIDENTIAL — TRADE SECRET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BE123C"/>
                <w:sz w:val="20"/>
                <w:szCs w:val="20"/>
              </w:rPr>
              <w:t xml:space="preserve">This document describes the internal logic, data structures, and operational behavior of a proprietary subsystem of the Information Physics Demo System. It contains confidential information and trade secrets of InformationPhysics.ai, LLC, including algorithmic detail not present in public-facing materials. Subject to the Transaction-Grade One-Way Non-Disclosure Agreement on file. Unauthorized use, disclosure, or reproduction is strictly prohibited and may result in civil and criminal liability.</w:t>
            </w:r>
          </w:p>
        </w:tc>
      </w:tr>
    </w:tbl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spacing w:after="16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color w:val="94A3B8"/>
          <w:sz w:val="17"/>
          <w:szCs w:val="17"/>
        </w:rPr>
        <w:t xml:space="preserve">Engineering Reference — Internal / NDA-Restricted</w:t>
      </w:r>
    </w:p>
    <w:p>
      <w:pPr>
        <w:spacing w:after="80" w:before="60" w:line="2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36"/>
          <w:szCs w:val="36"/>
        </w:rPr>
        <w:t xml:space="preserve">Benchmark Catalog Reference</w:t>
      </w:r>
    </w:p>
    <w:p>
      <w:pPr>
        <w:spacing w:after="20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75569"/>
          <w:sz w:val="22"/>
          <w:szCs w:val="22"/>
        </w:rPr>
        <w:t xml:space="preserve">All 10 saved ChatAIO benchmarks — full prompts, mode recommendations, evaluation rubrics</w:t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F172A"/>
          <w:sz w:val="22"/>
          <w:szCs w:val="22"/>
        </w:rPr>
        <w:t xml:space="preserve">Michael Simon Bodner, Ph.D.</w:t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3460"/>
          <w:sz w:val="18"/>
          <w:szCs w:val="18"/>
        </w:rPr>
        <w:t xml:space="preserve">Founder &amp; Chief Scientist, InformationPhysics.ai</w:t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475569"/>
          <w:sz w:val="18"/>
          <w:szCs w:val="18"/>
        </w:rPr>
        <w:t xml:space="preserve">April 2026 — Software Version V4.5.0</w:t>
      </w:r>
    </w:p>
    <w:p>
      <w:pPr>
        <w:spacing w:after="40" w:before="60" w:line="28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aps w:val="false"/>
          <w:color w:val="475569"/>
          <w:sz w:val="16"/>
          <w:szCs w:val="16"/>
        </w:rPr>
        <w:t xml:space="preserve">lib/benchmarks.ts  ·  R&amp;D → Benchmark dropdown</w:t>
      </w:r>
    </w:p>
    <w:p>
      <w:pPr>
        <w:spacing w:after="240" w:before="60" w:line="2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94A3B8"/>
          <w:sz w:val="16"/>
          <w:szCs w:val="16"/>
        </w:rPr>
        <w:t xml:space="preserve">© 2026 InformationPhysics.ai, LLC. All rights reserved.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Abstract</w:t>
            </w:r>
          </w:p>
          <w:p>
            <w:pPr>
              <w:spacing w:after="0" w:before="0" w:line="300"/>
            </w:pPr>
            <w:r>
              <w:rPr>
                <w:rFonts w:ascii="Calibri" w:cs="Calibri" w:eastAsia="Calibri" w:hAnsi="Calibri"/>
                <w:color w:val="475569"/>
                <w:sz w:val="21"/>
                <w:szCs w:val="21"/>
              </w:rPr>
              <w:t xml:space="preserve">Print-friendly version of the in-app Benchmark Guide. The 10 saved prompts are reproduced verbatim with mode recommendations, evaluation rubrics, and CLI parity instructions. Single source of truth in lib/benchmarks.ts; this document is generated from the same array.</w:t>
            </w:r>
          </w:p>
        </w:tc>
      </w:tr>
    </w:tbl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 How To Run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Two surfaces stay in sync via the same prompts array: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FB7185" w:sz="18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1.1  In-app — R&amp;D → Benchmark dropdown</w:t>
            </w:r>
          </w:p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Pick a benchmark, hit Run, and the four-mode comparison runs in the embedded Benchmark Runner with side-by-side metrics, verbatim replies for all four modes, and a Save-as-PDF button.</w:t>
            </w:r>
          </w:p>
        </w:tc>
      </w:tr>
    </w:tbl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single" w:color="FB7185" w:sz="18"/>
              <w:bottom w:val="none" w:color="FFFFFF" w:sz="0"/>
              <w:right w:val="none" w:color="FFFFFF" w:sz="0"/>
            </w:tcBorders>
            <w:tcMar>
              <w:top w:type="dxa" w:w="80"/>
              <w:left w:type="dxa" w:w="240"/>
              <w:bottom w:type="dxa" w:w="120"/>
              <w:right w:type="dxa" w:w="100"/>
            </w:tcMar>
          </w:tcPr>
          <w:p>
            <w:pPr>
              <w:spacing w:after="80" w:before="0" w:line="28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1.2  CLI — scripts/measure_modes.ts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00"/>
            </w:tblGrid>
            <w:tr>
              <w:tc>
                <w:tcPr>
                  <w:tcW w:type="dxa" w:w="9600"/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hd w:fill="F1F5F9" w:val="clear"/>
                    <w:spacing w:after="0" w:before="0" w:line="24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BENCHMARK=1 pnpm dlx tsx scripts/measure_modes.ts</w:t>
                  </w:r>
                </w:p>
              </w:tc>
            </w:tr>
          </w:tbl>
          <w:p>
            <w:pPr>
              <w:spacing w:after="60" w:before="6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21"/>
                <w:szCs w:val="21"/>
              </w:rPr>
              <w:t xml:space="preserve">Re-runs the same benchmark prompt against the deployed Railway stack with caches bypassed. Outputs a JSON artifact suitable for diffing across releases.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 Catalog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Benchmarks 1 and 2 are the headline pair (multi-CSV join, named-entity multi-category). 3–10 cover progressively wider query shapes.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800"/>
        <w:gridCol w:w="4400"/>
      </w:tblGrid>
      <w:tr>
        <w:trPr>
          <w:tblHeader/>
        </w:trP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mode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Stresses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PRJ-003 multi-CSV join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Live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HSL aliasing, cap-by-CSV diversity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Sarah Mitchell — roles + projects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Recall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Named entity, MRO short-circuit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Brake Pads — total sales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Live (V4.5: either)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Aggregation under cap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Open RFIs by project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Live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Multi-CSV join + filter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Highest-cost cost codes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Live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Sort + aggregation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Vendors per project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Recall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Multi-value HSL, three-hop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Issues raised by James Okafor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Recall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Named entity, role spread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Submittals reviewed but not approved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Live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Filter + status semantics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Show me the full schema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Broad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Schema discovery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Anything unusual in Q4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Live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Free-text exploratory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 Evaluation Rubric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Each benchmark is graded on four axes: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•   Correctness — does the answer match the ground-truth set computed by SELECT against the corpus?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•   Completeness — does the answer cover every matching row, not just a subset?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•   Cost — total tokens consumed (input + output).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•   Latency — wall-clock from request to last byte.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A benchmark that fails Correctness on a previously-passing release is a regression and blocks the release until resolved.</w:t>
      </w:r>
    </w:p>
    <w:p>
      <w:pPr>
        <w:pStyle w:val="Heading1"/>
        <w:pBdr>
          <w:bottom w:val="single" w:color="1F3864" w:sz="6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 Provenance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Benchmark prompts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lib/benchmarks.ts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UI surface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components/benchmark-runner.tsx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CLI surface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scripts/measure_modes.ts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Per-run telemetry</w:t>
            </w:r>
          </w:p>
        </w:tc>
        <w:tc>
          <w:tcPr>
            <w:tcW w:type="dxa" w:w="6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infophysics_impl_grade/migrations/014_chat_stats.sql</w:t>
            </w:r>
          </w:p>
        </w:tc>
      </w:tr>
    </w:tbl>
    <w:p>
      <w:pPr>
        <w:pBdr>
          <w:top w:val="single" w:color="CBD5E1" w:sz="6" w:space="4"/>
        </w:pBdr>
        <w:spacing w:after="80" w:before="320"/>
      </w:pPr>
      <w:r>
        <w:t xml:space="preserve"/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4A3B8"/>
          <w:sz w:val="16"/>
          <w:szCs w:val="16"/>
        </w:rPr>
        <w:t xml:space="preserve">Prepared by InformationPhysics.ai, LLC.  Confidential — subject to the Transaction-Grade One-Way NDA on file.</w:t>
      </w:r>
    </w:p>
    <w:p>
      <w:pPr>
        <w:spacing w:after="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4A3B8"/>
          <w:sz w:val="16"/>
          <w:szCs w:val="16"/>
        </w:rPr>
        <w:t xml:space="preserve">© 2026 InformationPhysics.ai, LLC. All rights reserved.</w:t>
      </w:r>
    </w:p>
    <w:sectPr>
      <w:headerReference w:type="default" r:id="rId7"/>
      <w:footerReference w:type="default" r:id="rId8"/>
      <w:pgSz w:w="12240" w:h="15840" w:orient="portrait"/>
      <w:pgMar w:top="1180" w:right="1320" w:bottom="1180" w:left="1320" w:header="720" w:footer="72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600"/>
      </w:tabs>
      <w:spacing w:after="0" w:before="0"/>
    </w:pPr>
    <w:r>
      <w:rPr>
        <w:rFonts w:ascii="Calibri" w:cs="Calibri" w:eastAsia="Calibri" w:hAnsi="Calibri"/>
        <w:color w:val="94A3B8"/>
        <w:sz w:val="16"/>
        <w:szCs w:val="16"/>
      </w:rPr>
      <w:t xml:space="preserve">InformationPhysics.ai, LLC  ·  V4.5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of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600"/>
      </w:tabs>
      <w:spacing w:after="0" w:before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InformationPhysics.ai</w:t>
    </w:r>
    <w:r>
      <w:rPr>
        <w:color w:val="94A3B8"/>
        <w:sz w:val="17"/>
        <w:szCs w:val="17"/>
      </w:rPr>
      <w:t xml:space="preserve">  ·  </w:t>
    </w:r>
    <w:r>
      <w:rPr>
        <w:rFonts w:ascii="Calibri" w:cs="Calibri" w:eastAsia="Calibri" w:hAnsi="Calibri"/>
        <w:i/>
        <w:iCs/>
        <w:color w:val="475569"/>
        <w:sz w:val="17"/>
        <w:szCs w:val="17"/>
      </w:rPr>
      <w:t xml:space="preserve">Benchmark Catalog Reference</w:t>
    </w:r>
    <w:r>
      <w:rPr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BE123C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 w:lin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 w:line="30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 Catalog Reference</dc:title>
  <dc:creator>Information Physics — ChatAIO Engineering</dc:creator>
  <dc:description>Benchmark Catalog Reference — V4.5</dc:description>
  <cp:lastModifiedBy>Un-named</cp:lastModifiedBy>
  <cp:revision>1</cp:revision>
  <dcterms:created xsi:type="dcterms:W3CDTF">2026-05-01T14:10:51.138Z</dcterms:created>
  <dcterms:modified xsi:type="dcterms:W3CDTF">2026-05-01T14:10:51.138Z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