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E11D48" w:sz="18"/>
              <w:left w:val="single" w:color="E11D48" w:sz="18"/>
              <w:bottom w:val="single" w:color="E11D48" w:sz="18"/>
              <w:right w:val="single" w:color="E11D48" w:sz="18"/>
            </w:tcBorders>
            <w:shd w:fill="FFF1F2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BE123C"/>
                <w:sz w:val="22"/>
                <w:szCs w:val="22"/>
              </w:rPr>
              <w:t xml:space="preserve">⚠  CONFIDENTIAL — TRADE SECRET</w:t>
            </w:r>
          </w:p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color w:val="BE123C"/>
                <w:sz w:val="20"/>
                <w:szCs w:val="20"/>
              </w:rPr>
              <w:t xml:space="preserve">This document describes the internal logic, data structures, and operational behavior of a proprietary subsystem of the Information Physics Demo System. It contains confidential information and trade secrets of InformationPhysics.ai, LLC, including algorithmic detail not present in public-facing materials. Subject to the Transaction-Grade One-Way Non-Disclosure Agreement on file. Unauthorized use, disclosure, or reproduction is strictly prohibited and may result in civil and criminal liability.</w:t>
            </w:r>
          </w:p>
        </w:tc>
      </w:tr>
    </w:tbl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/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/>
      </w:r>
    </w:p>
    <w:p>
      <w:pPr>
        <w:spacing w:after="16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94A3B8"/>
          <w:sz w:val="17"/>
          <w:szCs w:val="17"/>
        </w:rPr>
        <w:t xml:space="preserve">Engineering Reference — Internal / NDA-Restricted</w:t>
      </w:r>
    </w:p>
    <w:p>
      <w:pPr>
        <w:spacing w:after="80" w:before="60" w:line="28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172A"/>
          <w:sz w:val="36"/>
          <w:szCs w:val="36"/>
        </w:rPr>
        <w:t xml:space="preserve">Cue Extraction</w:t>
      </w:r>
    </w:p>
    <w:p>
      <w:pPr>
        <w:spacing w:after="200" w:before="60" w:line="2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75569"/>
          <w:sz w:val="22"/>
          <w:szCs w:val="22"/>
        </w:rPr>
        <w:t xml:space="preserve">Deterministic query → element-cue translation, HSL gating, and trigram-tolerant retrieval</w:t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172A"/>
          <w:sz w:val="22"/>
          <w:szCs w:val="22"/>
        </w:rPr>
        <w:t xml:space="preserve">Michael Simon Bodner, Ph.D.</w:t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3460"/>
          <w:sz w:val="18"/>
          <w:szCs w:val="18"/>
        </w:rPr>
        <w:t xml:space="preserve">Founder &amp; Chief Scientist, InformationPhysics.ai</w:t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75569"/>
          <w:sz w:val="18"/>
          <w:szCs w:val="18"/>
        </w:rPr>
        <w:t xml:space="preserve">April 2026 — Software Version V4.5.0</w:t>
      </w:r>
    </w:p>
    <w:p>
      <w:pPr>
        <w:spacing w:after="40" w:before="60" w:line="280"/>
        <w:jc w:val="center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475569"/>
          <w:sz w:val="16"/>
          <w:szCs w:val="16"/>
        </w:rPr>
        <w:t xml:space="preserve">lib/aio-math.ts (extractCues)  ·  api/routes/hsl.py (find-by-needles-full)</w:t>
      </w:r>
    </w:p>
    <w:p>
      <w:pPr>
        <w:spacing w:after="24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94A3B8"/>
          <w:sz w:val="16"/>
          <w:szCs w:val="16"/>
        </w:rPr>
        <w:t xml:space="preserve">© 2026 InformationPhysics.ai, LLC. All rights reserved.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Abstract</w:t>
            </w:r>
          </w:p>
          <w:p>
            <w:pPr>
              <w:spacing w:after="100" w:before="0" w:line="300"/>
            </w:pPr>
            <w:r>
              <w:rPr>
                <w:rFonts w:ascii="Calibri" w:cs="Calibri" w:eastAsia="Calibri" w:hAnsi="Calibri"/>
                <w:color w:val="475569"/>
                <w:sz w:val="21"/>
                <w:szCs w:val="21"/>
              </w:rPr>
              <w:t xml:space="preserve">Authoritative engineering description of the cue-extraction stage of the ChatAIO retrieval pipeline as shipped in V4.5. Specifies the four-pass algorithm by which a natural-language query is translated into a deterministic Element Cue Set; the canonical-field aliasing layer that resolves cross-CSV header fragmentation; the HSL inverted-index probe with both exact and trigram-tolerant paths; and the substrate trim and assembly that produces the LLM input.</w:t>
            </w:r>
          </w:p>
          <w:p>
            <w:pPr>
              <w:spacing w:after="0" w:before="0" w:line="300"/>
            </w:pPr>
            <w:r>
              <w:rPr>
                <w:rFonts w:ascii="Calibri" w:cs="Calibri" w:eastAsia="Calibri" w:hAnsi="Calibri"/>
                <w:color w:val="475569"/>
                <w:sz w:val="21"/>
                <w:szCs w:val="21"/>
              </w:rPr>
              <w:t xml:space="preserve">Documents the four V4.5 retrieval-correctness fixes — migrations 029 and 031, cap-by-CSV diversity, and HSL field-name aliasing — as a coherent thread, with the failure modes each one resolved.</w:t>
            </w:r>
          </w:p>
        </w:tc>
      </w:tr>
    </w:tbl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/>
      </w:r>
    </w:p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 Scope and Audience</w:t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>This document is the authoritative engineering description of the cue-extraction stage of the ChatAIO retrieval pipeline as shipped in V4.5. It declares the algorithm by which a natural-language query is translated into a deterministic set of bracket-notation Element Cues, and the downstream gating steps those cues drive: HSL pointer-index resolution, AIO neighborhood scoping, ranking, dedup, and substrate assembly. It supersedes any earlier description of the cue path.</w:t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/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Audience</w:t>
            </w:r>
          </w:p>
        </w:tc>
        <w:tc>
          <w:tcPr>
            <w:tcW w:type="dxa" w:w="7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Use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Engineering</w:t>
            </w:r>
          </w:p>
        </w:tc>
        <w:tc>
          <w:tcPr>
            <w:tcW w:type="dxa" w:w="7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Authoritative algorithm spec — anything that contradicts this file should be reconciled here first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Operations</w:t>
            </w:r>
          </w:p>
        </w:tc>
        <w:tc>
          <w:tcPr>
            <w:tcW w:type="dxa" w:w="7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Diagnostic vocabulary for explaining why a given query produces a given retrieval set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Reviewers / Counsel</w:t>
            </w:r>
          </w:p>
        </w:tc>
        <w:tc>
          <w:tcPr>
            <w:tcW w:type="dxa" w:w="7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Identifies the trade-secret invariants that distinguish the substrate from a conventional embedding-RAG implementation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 Definitions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Term</w:t>
            </w:r>
          </w:p>
        </w:tc>
        <w:tc>
          <w:tcPr>
            <w:tcW w:type="dxa" w:w="7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AIO</w:t>
            </w:r>
          </w:p>
        </w:tc>
        <w:tc>
          <w:tcPr>
            <w:tcW w:type="dxa" w:w="7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Associated Information Object — bracket-notation record [Key.Value][Key.Value]… representing a single observation. Stored row-per-AIO in aio_data with up to 50 element columns.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HSL</w:t>
            </w:r>
          </w:p>
        </w:tc>
        <w:tc>
          <w:tcPr>
            <w:tcW w:type="dxa" w:w="7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Hyper-Semantic Layer record — relational pointer table whose name encodes a [Key.Value] anchor and whose member list points to AIOs sharing that anchor.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MRO</w:t>
            </w:r>
          </w:p>
        </w:tc>
        <w:tc>
          <w:tcPr>
            <w:tcW w:type="dxa" w:w="7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Memory Result Object — persisted retrieval episode. Used both as a short-circuit cache and as a prior-episode hint for fresh retrievals.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Element Cue</w:t>
            </w:r>
          </w:p>
        </w:tc>
        <w:tc>
          <w:tcPr>
            <w:tcW w:type="dxa" w:w="7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3-tuple (Key, Value, raw) where raw = [Key.Value] or [Key.*]. Drives every downstream lookup. Pure data — no LLM call required to produce.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Cue Set K</w:t>
            </w:r>
          </w:p>
        </w:tc>
        <w:tc>
          <w:tcPr>
            <w:tcW w:type="dxa" w:w="7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Unordered, deduplicated collection of Element Cues extracted from one query. Sized typically 10–200 for natural-language queries against a 500–1,000 AIO corpus.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Canonical Field</w:t>
            </w:r>
          </w:p>
        </w:tc>
        <w:tc>
          <w:tcPr>
            <w:tcW w:type="dxa" w:w="7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Output of canonicalField(key) — folds equivalent header spellings (Project_ID, Project ID, Projects Assigned, Applicable Projects) onto a single key.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IER</w:t>
            </w:r>
          </w:p>
        </w:tc>
        <w:tc>
          <w:tcPr>
            <w:tcW w:type="dxa" w:w="7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Information Element Refs — Postgres inverted index keyed on (tenant_id, field_name, value_lower) → (hsl_id|aio_id). Backs find-by-needles-full.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 Position in the Pipeline</w:t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>Cue extraction sits between query parse and retrieval. It is purely deterministic: given the same corpus, vocabulary, and query string, it produces the same Cue Set on every invocation. No LLM is consulted. This is a load-bearing property — every test, every benchmark, and every reproducibility audit relies on it.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query (string)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  │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  ▼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┌──────────────────────────────────────────────────────────┐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│ §1.  Cue Extraction        (lib/aio-math.ts)             │ ← THIS DOCUMENT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│        extractCues(query, fields, vocab, hslKVPairs)     │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└──────────────────────────────────────────────────────────┘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  │ Cue Set K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  ▼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  HSL Resolution     (find-by-needles-full)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  AIO Scope Union    (HSL pointers ∪ needle scan)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  Rank + Cap         (HSL boost + diversifyByCSV)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  Jaccard Dedup      (substrate trim)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  Substrate Assembly (priors + scope + cues)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  LLM call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 The Cue Extraction Algorithm</w:t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>extractCues runs four passes in fixed order over a normalized query. Earlier passes shadow later ones via a deduplication set keyed on the canonical raw form [Key.Value]. Output is a List&lt;ElementCue&gt; in pass-emission order, which becomes the input order for downstream ranking.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FB7185" w:sz="18"/>
              <w:bottom w:val="none" w:color="FFFFFF" w:sz="0"/>
              <w:right w:val="none" w:color="FFFFFF" w:sz="0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4.1  Inputs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Four inputs feed extractCues; only the first is per-query.</w:t>
            </w:r>
          </w:p>
          <w:tbl>
            <w:tblPr>
              <w:tblW w:type="dxa" w:w="96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7200"/>
            </w:tblGrid>
            <w:tr>
              <w:trPr>
                <w:tblHeader/>
              </w:trPr>
              <w:tc>
                <w:tcPr>
                  <w:tcW w:type="dxa" w:w="2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0F3460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Input</w:t>
                  </w:r>
                </w:p>
              </w:tc>
              <w:tc>
                <w:tcPr>
                  <w:tcW w:type="dxa" w:w="72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0F3460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Source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query</w:t>
                  </w:r>
                </w:p>
              </w:tc>
              <w:tc>
                <w:tcPr>
                  <w:tcW w:type="dxa" w:w="72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User's natural-language string. Lower-cased and trimmed before processing.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fieldNames</w:t>
                  </w:r>
                </w:p>
              </w:tc>
              <w:tc>
                <w:tcPr>
                  <w:tcW w:type="dxa" w:w="72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Distinct field names observed across the AIO corpus. Used by Pass 1b for key-anchored matches.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valueVocabulary</w:t>
                  </w:r>
                </w:p>
              </w:tc>
              <w:tc>
                <w:tcPr>
                  <w:tcW w:type="dxa" w:w="72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Set of every distinct value observed across the corpus. Used by Pass 1c as fallback substring source.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hslKeyValuePairs</w:t>
                  </w:r>
                </w:p>
              </w:tc>
              <w:tc>
                <w:tcPr>
                  <w:tcW w:type="dxa" w:w="72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Catalog of (Key, Value) pairs from HSL topology — sourced via /v1/hsl-data/key-value-pairs.</w:t>
                  </w:r>
                </w:p>
              </w:tc>
            </w:tr>
          </w:tbl>
          <w:p/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FB7185" w:sz="18"/>
              <w:bottom w:val="none" w:color="FFFFFF" w:sz="0"/>
              <w:right w:val="none" w:color="FFFFFF" w:sz="0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4.2  Output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Each ElementCue carries:</w:t>
            </w:r>
          </w:p>
          <w:tbl>
            <w:tblPr>
              <w:tblW w:type="dxa" w:w="96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600"/>
            </w:tblGrid>
            <w:tr>
              <w:tc>
                <w:tcPr>
                  <w:tcW w:type="dxa" w:w="96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100"/>
                    <w:left w:type="dxa" w:w="200"/>
                    <w:bottom w:type="dxa" w:w="100"/>
                    <w:right w:type="dxa" w:w="200"/>
                  </w:tcMar>
                </w:tcPr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interface ElementCue {</w:t>
                  </w:r>
                </w:p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  key:   string                  // canonical field name, or "*" wildcard</w:t>
                  </w:r>
                </w:p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  value: string | undefined      // observed value, or undefined for key-only</w:t>
                  </w:r>
                </w:p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  raw:   string                  // canonical [Key.Value] or [Key.*]</w:t>
                  </w:r>
                </w:p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}</w:t>
                  </w:r>
                </w:p>
              </w:tc>
            </w:tr>
          </w:tbl>
          <w:p/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FB7185" w:sz="18"/>
              <w:bottom w:val="none" w:color="FFFFFF" w:sz="0"/>
              <w:right w:val="none" w:color="FFFFFF" w:sz="0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4.3  Pass 1a — Bracket Phrase Match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Captures literal bracket-notation phrases the operator pasted into the query ("every record matching [Status.Open]"). Strict regex — single bracket pair, no nested brackets, key and value separated by a single dot.</w:t>
            </w:r>
          </w:p>
          <w:tbl>
            <w:tblPr>
              <w:tblW w:type="dxa" w:w="96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600"/>
            </w:tblGrid>
            <w:tr>
              <w:tc>
                <w:tcPr>
                  <w:tcW w:type="dxa" w:w="96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100"/>
                    <w:left w:type="dxa" w:w="200"/>
                    <w:bottom w:type="dxa" w:w="100"/>
                    <w:right w:type="dxa" w:w="200"/>
                  </w:tcMar>
                </w:tcPr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/\[([^\].]+)\.([^\]]+)\]/g</w:t>
                  </w:r>
                </w:p>
              </w:tc>
            </w:tr>
          </w:tbl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Highest-priority pass: a literal bracket cue cannot be displaced or wildcarded by later passes.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FB7185" w:sz="18"/>
              <w:bottom w:val="none" w:color="FFFFFF" w:sz="0"/>
              <w:right w:val="none" w:color="FFFFFF" w:sz="0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4.4  Pass 1b — Field-Name Anchored Match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Walks the corpus field-name directory. For each known field that appears as a substring of the query, emits a cue. If the 80 chars after the field name in the query contain a colon or equals followed by a quoted or alphanumeric token, that token is captured as the value. Otherwise the cue is key-only [Key.*].</w:t>
            </w:r>
          </w:p>
          <w:p>
            <w:pPr>
              <w:spacing w:after="40" w:before="40" w:line="280"/>
              <w:ind w:left="720" w:hanging="360"/>
            </w:pPr>
            <w:r>
              <w:rPr>
                <w:rFonts w:ascii="Calibri" w:cs="Calibri" w:eastAsia="Calibri" w:hAnsi="Calibri"/>
                <w:color w:val="0F172A"/>
                <w:sz w:val="21"/>
                <w:szCs w:val="21"/>
              </w:rPr>
              <w:t xml:space="preserve">•   "Status: Open vendors in Texas"   →   emits [Status.Open]</w:t>
            </w:r>
          </w:p>
          <w:p>
            <w:pPr>
              <w:spacing w:after="40" w:before="40" w:line="280"/>
              <w:ind w:left="720" w:hanging="360"/>
            </w:pPr>
            <w:r>
              <w:rPr>
                <w:rFonts w:ascii="Calibri" w:cs="Calibri" w:eastAsia="Calibri" w:hAnsi="Calibri"/>
                <w:color w:val="0F172A"/>
                <w:sz w:val="21"/>
                <w:szCs w:val="21"/>
              </w:rPr>
              <w:t xml:space="preserve">•   "give me the assigned to field for PRJ-003"   →   emits [Assigned To.*]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FB7185" w:sz="18"/>
              <w:bottom w:val="none" w:color="FFFFFF" w:sz="0"/>
              <w:right w:val="none" w:color="FFFFFF" w:sz="0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4.5  Pass 1b' — HSL Catalog Forward / Reverse Match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The most precise pass. Iterates every (Key, Value) pair sourced from the HSL topology. A pair is emitted as a cue when:</w:t>
            </w:r>
          </w:p>
          <w:p>
            <w:pPr>
              <w:spacing w:after="40" w:before="40" w:line="280"/>
              <w:ind w:left="720" w:hanging="360"/>
            </w:pPr>
            <w:r>
              <w:rPr>
                <w:rFonts w:ascii="Calibri" w:cs="Calibri" w:eastAsia="Calibri" w:hAnsi="Calibri"/>
                <w:color w:val="0F172A"/>
                <w:sz w:val="21"/>
                <w:szCs w:val="21"/>
              </w:rPr>
              <w:t xml:space="preserve">•   Forward — the full value string appears in the query (case-insensitive substring).</w:t>
            </w:r>
          </w:p>
          <w:p>
            <w:pPr>
              <w:spacing w:after="40" w:before="40" w:line="280"/>
              <w:ind w:left="720" w:hanging="360"/>
            </w:pPr>
            <w:r>
              <w:rPr>
                <w:rFonts w:ascii="Calibri" w:cs="Calibri" w:eastAsia="Calibri" w:hAnsi="Calibri"/>
                <w:color w:val="0F172A"/>
                <w:sz w:val="21"/>
                <w:szCs w:val="21"/>
              </w:rPr>
              <w:t xml:space="preserve">•   Reverse — the full value contains any 3+-char query word as a substring.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Reverse exists because real queries reference entities by partial token ("Mitchell" → "Sarah Mitchell"). Both directions emit a cue with the catalog's concrete key, not a wildcard. Catalog values that are emitted here are recorded in a catalogValues set so Pass 1c does not duplicate them with wildcard variants.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FB7185" w:sz="18"/>
              <w:bottom w:val="none" w:color="FFFFFF" w:sz="0"/>
              <w:right w:val="none" w:color="FFFFFF" w:sz="0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4.6  Pass 1c — Vocabulary Fallback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Last-resort substring match against the corpus value-vocabulary. For every value v with |v| ≥ 3:</w:t>
            </w:r>
          </w:p>
          <w:p>
            <w:pPr>
              <w:spacing w:after="40" w:before="40" w:line="280"/>
              <w:ind w:left="720" w:hanging="360"/>
            </w:pPr>
            <w:r>
              <w:rPr>
                <w:rFonts w:ascii="Calibri" w:cs="Calibri" w:eastAsia="Calibri" w:hAnsi="Calibri"/>
                <w:color w:val="0F172A"/>
                <w:sz w:val="21"/>
                <w:szCs w:val="21"/>
              </w:rPr>
              <w:t xml:space="preserve">•   Forward — the full value v is a substring of the query → emits [*.v].</w:t>
            </w:r>
          </w:p>
          <w:p>
            <w:pPr>
              <w:spacing w:after="40" w:before="40" w:line="280"/>
              <w:ind w:left="720" w:hanging="360"/>
            </w:pPr>
            <w:r>
              <w:rPr>
                <w:rFonts w:ascii="Calibri" w:cs="Calibri" w:eastAsia="Calibri" w:hAnsi="Calibri"/>
                <w:color w:val="0F172A"/>
                <w:sz w:val="21"/>
                <w:szCs w:val="21"/>
              </w:rPr>
              <w:t xml:space="preserve">•   Reverse — any 3+-char query word is a substring of v → emits [*.v].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Values already captured by Pass 1b' (with concrete keys) are skipped to prevent the wildcard variant from polluting the cue set.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FB7185" w:sz="18"/>
              <w:bottom w:val="none" w:color="FFFFFF" w:sz="0"/>
              <w:right w:val="none" w:color="FFFFFF" w:sz="0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4.7  Canonical Field Folding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Every cue's key is run through canonicalField() (lib/hsl-aliases.ts) before raw-form construction. This is the V4.5 fix for the cross-CSV fragmentation bug.</w:t>
            </w:r>
          </w:p>
          <w:tbl>
            <w:tblPr>
              <w:tblW w:type="dxa" w:w="96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1800"/>
              <w:gridCol w:w="5400"/>
            </w:tblGrid>
            <w:tr>
              <w:trPr>
                <w:tblHeader/>
              </w:trPr>
              <w:tc>
                <w:tcPr>
                  <w:tcW w:type="dxa" w:w="2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0F3460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Source CSV header</w:t>
                  </w:r>
                </w:p>
              </w:tc>
              <w:tc>
                <w:tcPr>
                  <w:tcW w:type="dxa" w:w="18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0F3460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Canonical key</w:t>
                  </w:r>
                </w:p>
              </w:tc>
              <w:tc>
                <w:tcPr>
                  <w:tcW w:type="dxa" w:w="5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0F3460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Origin CSVs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Project_ID</w:t>
                  </w:r>
                </w:p>
              </w:tc>
              <w:tc>
                <w:tcPr>
                  <w:tcW w:type="dxa" w:w="18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Project</w:t>
                  </w:r>
                </w:p>
              </w:tc>
              <w:tc>
                <w:tcPr>
                  <w:tcW w:type="dxa" w:w="5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AIA305 Sample.csv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Project ID</w:t>
                  </w:r>
                </w:p>
              </w:tc>
              <w:tc>
                <w:tcPr>
                  <w:tcW w:type="dxa" w:w="18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Project</w:t>
                  </w:r>
                </w:p>
              </w:tc>
              <w:tc>
                <w:tcPr>
                  <w:tcW w:type="dxa" w:w="5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acc_rfis.csv, acc_issues.csv, acc_submittals.csv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Projects Assigned</w:t>
                  </w:r>
                </w:p>
              </w:tc>
              <w:tc>
                <w:tcPr>
                  <w:tcW w:type="dxa" w:w="18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Project</w:t>
                  </w:r>
                </w:p>
              </w:tc>
              <w:tc>
                <w:tcPr>
                  <w:tcW w:type="dxa" w:w="5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acc_vendors.csv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Applicable Projects</w:t>
                  </w:r>
                </w:p>
              </w:tc>
              <w:tc>
                <w:tcPr>
                  <w:tcW w:type="dxa" w:w="18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Project</w:t>
                  </w:r>
                </w:p>
              </w:tc>
              <w:tc>
                <w:tcPr>
                  <w:tcW w:type="dxa" w:w="5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acc_cost_codes.csv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Active Projects</w:t>
                  </w:r>
                </w:p>
              </w:tc>
              <w:tc>
                <w:tcPr>
                  <w:tcW w:type="dxa" w:w="18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Project</w:t>
                  </w:r>
                </w:p>
              </w:tc>
              <w:tc>
                <w:tcPr>
                  <w:tcW w:type="dxa" w:w="5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acc_customers.csv</w:t>
                  </w:r>
                </w:p>
              </w:tc>
            </w:tr>
          </w:tbl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Without canonicalField, a cue extracted from one CSV's spelling cannot match an HSL anchored on another spelling — even when both refer to the same entity. The PRJ-003 multi-CSV join benchmark was built specifically to demonstrate this failure mode and confirm the fix.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5.  HSL Resolution and Trigram Fallback</w:t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>Each cue probes /v1/hsl-data/find-by-needles-full. The endpoint runs two staged lookups against the IER (Information Element Refs) inverted index installed by migration 017: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FB7185" w:sz="18"/>
              <w:bottom w:val="none" w:color="FFFFFF" w:sz="0"/>
              <w:right w:val="none" w:color="FFFFFF" w:sz="0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5.1  Stage A — Exact Match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WHERE field_name = key AND value_lower = lower(value). O(log N) on the IER btree index. Returns immediately if any rows match.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FB7185" w:sz="18"/>
              <w:bottom w:val="none" w:color="FFFFFF" w:sz="0"/>
              <w:right w:val="none" w:color="FFFFFF" w:sz="0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5.2  Stage B — Trigram Fallback (V4.5 / migration 031)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If Stage A returned zero hits, fall through to a pg_trgm % similarity match against the same column, with set_limit(0.30) configured per-session. The GIN trigram index installed in migration 031 keeps this O(log N) at the demo corpus scale.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Catches paraphrases the exact path doesn't handle: "PRJ 003" vs "PRJ-003", "Sarah M" vs "Sarah Mitchell", "Brake pad" vs "Brake Pads".</w:t>
            </w:r>
          </w:p>
          <w:tbl>
            <w:tblPr>
              <w:tblW w:type="dxa" w:w="96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600"/>
            </w:tblGrid>
            <w:tr>
              <w:tc>
                <w:tcPr>
                  <w:tcW w:type="dxa" w:w="96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100"/>
                    <w:left w:type="dxa" w:w="200"/>
                    <w:bottom w:type="dxa" w:w="100"/>
                    <w:right w:type="dxa" w:w="200"/>
                  </w:tcMar>
                </w:tcPr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-- Stage A: O(log N) exact lookup</w:t>
                  </w:r>
                </w:p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SELECT hsl_id FROM information_element_refs</w:t>
                  </w:r>
                </w:p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WHERE field_name = :key AND value_lower = lower(:value);</w:t>
                  </w:r>
                </w:p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 </w:t>
                  </w:r>
                </w:p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-- Stage B (only if A → 0): trigram-fuzzy fallback</w:t>
                  </w:r>
                </w:p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SELECT hsl_id FROM information_element_refs</w:t>
                  </w:r>
                </w:p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WHERE field_name = :key AND value_lower % lower(:value)</w:t>
                  </w:r>
                </w:p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ORDER BY similarity(value_lower, lower(:value)) DESC LIMIT 50;</w:t>
                  </w:r>
                </w:p>
              </w:tc>
            </w:tr>
          </w:tbl>
          <w:p/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6.  Substrate Cap and Jaccard Dedup</w:t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>After HSL resolution and AIO gather, two trims run before the LLM sees anything: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FB7185" w:sz="18"/>
              <w:bottom w:val="none" w:color="FFFFFF" w:sz="0"/>
              <w:right w:val="none" w:color="FFFFFF" w:sz="0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6.1  Diversify by CSV (V4.5)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Replaces a flat top-N cap that let a numerically dominant CSV (AIA305 in the demo) crowd out the operational CSVs and break multi-CSV joins. The new pass takes a fair per-CSV share first, then back-fills from the highest-ranked leftovers. Mirrored on the frontend (lib/aio-math.ts diversifyByCSV) and backend (api/search_helpers.py diversify_by_csv).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FB7185" w:sz="18"/>
              <w:bottom w:val="none" w:color="FFFFFF" w:sz="0"/>
              <w:right w:val="none" w:color="FFFFFF" w:sz="0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6.2  Element-Set Jaccard Dedup at 0.85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Each AIO is hashed as a multiset of [Key.Value] tokens. Pairs with Jaccard ≥ 0.85 are collapsed to the higher-ranked member, with the provenance key (OriginalCSV, RowNumber) excluded from the comparison so identical content from two CSVs still survives once.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7.  V4.5 Retrieval-Correctness Fixes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4000"/>
      </w:tblGrid>
      <w:tr>
        <w:trPr>
          <w:tblHeader/>
        </w:trP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was broken</w:t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Mechanism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Mig 029 — HSL inverted index population</w:t>
            </w:r>
          </w:p>
        </w:tc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ier_refresh_hsl() only parsed element columns (which carry AIO row refs, not [Key.Value] tokens)</w:t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Now parses both elements AND hsl_data.hsl_name (where the bracket token actually lives). Backfilled every existing HSL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Cap-by-CSV diversity</w:t>
            </w:r>
          </w:p>
        </w:tc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Flat top-N cap let AIA305 (80% of demo) crowd out operational CSVs</w:t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Per-CSV fair share with back-fill (lib/aio-math.ts + api/search_helpers.py mirror)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HSL field-name aliasing</w:t>
            </w:r>
          </w:p>
        </w:tc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Project_ID and Project ID could not match the same HSL</w:t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lib/hsl-aliases.ts canonicalField() folds equivalent spellings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Mig 031 — IER trigram index</w:t>
            </w:r>
          </w:p>
        </w:tc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Paraphrase queries returned 0 hits</w:t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GIN trigram index + Stage B fallback in find-by-needles-full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8.  Provenance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00"/>
      </w:tblGrid>
      <w:tr>
        <w:trPr>
          <w:tblHeader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Topic</w:t>
            </w:r>
          </w:p>
        </w:tc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Source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extractCues</w:t>
            </w:r>
          </w:p>
        </w:tc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lib/aio-math.ts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canonicalField</w:t>
            </w:r>
          </w:p>
        </w:tc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lib/hsl-aliases.ts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find-by-needles-full</w:t>
            </w:r>
          </w:p>
        </w:tc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infophysics_impl_grade/api/routes/hsl.py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IER index</w:t>
            </w:r>
          </w:p>
        </w:tc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infophysics_impl_grade/migrations/017_information_element_refs.sql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IER backfill fix</w:t>
            </w:r>
          </w:p>
        </w:tc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infophysics_impl_grade/migrations/029_fix_hsl_ier_index.sql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Trigram index</w:t>
            </w:r>
          </w:p>
        </w:tc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infophysics_impl_grade/migrations/031_information_element_refs_trigram.sql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Cap-by-CSV diversity</w:t>
            </w:r>
          </w:p>
        </w:tc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lib/aio-math.ts (diversifyByCSV) + api/search_helpers.py (diversify_by_csv)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Jaccard dedup</w:t>
            </w:r>
          </w:p>
        </w:tc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lib/aio-math.ts (jaccardDedupe)</w:t>
            </w:r>
          </w:p>
        </w:tc>
      </w:tr>
    </w:tbl>
    <w:p>
      <w:pPr>
        <w:pBdr>
          <w:top w:val="single" w:color="CBD5E1" w:sz="6" w:space="4"/>
        </w:pBdr>
        <w:spacing w:after="80" w:before="320"/>
      </w:pPr>
      <w:r>
        <w:t xml:space="preserve"/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94A3B8"/>
          <w:sz w:val="16"/>
          <w:szCs w:val="16"/>
        </w:rPr>
        <w:t xml:space="preserve">Prepared by InformationPhysics.ai, LLC.  Confidential — subject to the Transaction-Grade One-Way NDA on file.</w:t>
      </w:r>
    </w:p>
    <w:p>
      <w:pPr>
        <w:spacing w:after="0" w:before="60" w:line="2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94A3B8"/>
          <w:sz w:val="16"/>
          <w:szCs w:val="16"/>
        </w:rPr>
        <w:t xml:space="preserve">© 2026 InformationPhysics.ai, LLC. All rights reserved.</w:t>
      </w:r>
    </w:p>
    <w:sectPr>
      <w:headerReference w:type="default" r:id="rId7"/>
      <w:footerReference w:type="default" r:id="rId8"/>
      <w:pgSz w:w="12240" w:h="15840" w:orient="portrait"/>
      <w:pgMar w:top="1180" w:right="1320" w:bottom="1180" w:left="1320" w:header="720" w:footer="720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4" w:space="1"/>
      </w:pBdr>
      <w:tabs>
        <w:tab w:val="right" w:pos="9600"/>
      </w:tabs>
      <w:spacing w:after="0" w:before="0"/>
    </w:pPr>
    <w:r>
      <w:rPr>
        <w:rFonts w:ascii="Calibri" w:cs="Calibri" w:eastAsia="Calibri" w:hAnsi="Calibri"/>
        <w:color w:val="94A3B8"/>
        <w:sz w:val="16"/>
        <w:szCs w:val="16"/>
      </w:rPr>
      <w:t xml:space="preserve">InformationPhysics.ai, LLC  ·  V4.5</w:t>
    </w:r>
    <w:r>
      <w:rPr>
        <w:sz w:val="16"/>
        <w:szCs w:val="16"/>
      </w:rPr>
      <w:t xml:space="preserve">	</w:t>
    </w:r>
    <w:r>
      <w:rPr>
        <w:rFonts w:ascii="Calibri" w:cs="Calibri" w:eastAsia="Calibri" w:hAnsi="Calibri"/>
        <w:color w:val="94A3B8"/>
        <w:sz w:val="16"/>
        <w:szCs w:val="16"/>
      </w:rPr>
      <w:t xml:space="preserve">Page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94A3B8"/>
        <w:sz w:val="16"/>
        <w:szCs w:val="16"/>
      </w:rPr>
      <w:t xml:space="preserve"> of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1"/>
      </w:pBdr>
      <w:tabs>
        <w:tab w:val="right" w:pos="9600"/>
      </w:tabs>
      <w:spacing w:after="0" w:before="0"/>
    </w:pPr>
    <w:r>
      <w:rPr>
        <w:rFonts w:ascii="Calibri" w:cs="Calibri" w:eastAsia="Calibri" w:hAnsi="Calibri"/>
        <w:b/>
        <w:bCs/>
        <w:color w:val="1F3864"/>
        <w:sz w:val="17"/>
        <w:szCs w:val="17"/>
      </w:rPr>
      <w:t xml:space="preserve">InformationPhysics.ai</w:t>
    </w:r>
    <w:r>
      <w:rPr>
        <w:color w:val="94A3B8"/>
        <w:sz w:val="17"/>
        <w:szCs w:val="17"/>
      </w:rPr>
      <w:t xml:space="preserve">  ·  </w:t>
    </w:r>
    <w:r>
      <w:rPr>
        <w:rFonts w:ascii="Calibri" w:cs="Calibri" w:eastAsia="Calibri" w:hAnsi="Calibri"/>
        <w:i/>
        <w:iCs/>
        <w:color w:val="475569"/>
        <w:sz w:val="17"/>
        <w:szCs w:val="17"/>
      </w:rPr>
      <w:t xml:space="preserve">Cue Extraction Technote</w:t>
    </w:r>
    <w:r>
      <w:rPr>
        <w:sz w:val="17"/>
        <w:szCs w:val="17"/>
      </w:rPr>
      <w:t xml:space="preserve">	</w:t>
    </w:r>
    <w:r>
      <w:rPr>
        <w:rFonts w:ascii="Calibri" w:cs="Calibri" w:eastAsia="Calibri" w:hAnsi="Calibri"/>
        <w:b/>
        <w:bCs/>
        <w:color w:val="BE123C"/>
        <w:sz w:val="17"/>
        <w:szCs w:val="17"/>
      </w:rPr>
      <w:t xml:space="preserve">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 w:line="320"/>
      <w:outlineLvl w:val="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 w:line="300"/>
      <w:outlineLvl w:val="1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Cue Extraction Technote</dc:title>
  <dc:creator>Information Physics — ChatAIO Engineering</dc:creator>
  <dc:description>Cue Extraction Technote — V4.5</dc:description>
  <cp:lastModifiedBy>Un-named</cp:lastModifiedBy>
  <cp:revision>1</cp:revision>
  <dcterms:created xsi:type="dcterms:W3CDTF">2026-05-01T14:10:50.991Z</dcterms:created>
  <dcterms:modified xsi:type="dcterms:W3CDTF">2026-05-01T14:10:50.999Z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