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E11D48" w:sz="18"/><w:left w:val="single" w:color="E11D48" w:sz="18"/><w:bottom w:val="single" w:color="E11D48" w:sz="18"/><w:right w:val="single" w:color="E11D48" w:sz="18"/></w:tcBorders><w:shd w:fill="FFF1F2" w:val="clear"/><w:tcMar><w:top w:type="dxa" w:w="160"/><w:left w:type="dxa" w:w="240"/><w:bottom w:type="dxa" w:w="160"/><w:right w:type="dxa" w:w="240"/></w:tcMar></w:tcPr><w:p><w:pPr><w:spacing w:after="80" w:before="0"/></w:pPr><w:r><w:rPr><w:rFonts w:ascii="Calibri" w:cs="Calibri" w:eastAsia="Calibri" w:hAnsi="Calibri"/><w:b/><w:bCs/><w:color w:val="BE123C"/><w:sz w:val="22"/><w:szCs w:val="22"/></w:rPr><w:t xml:space="preserve">⚠  CONFIDENTIAL — TRADE SECRET</w:t></w:r></w:p><w:p><w:pPr><w:spacing w:after="0" w:before="0" w:line="280"/></w:pPr><w:r><w:rPr><w:rFonts w:ascii="Calibri" w:cs="Calibri" w:eastAsia="Calibri" w:hAnsi="Calibri"/><w:color w:val="BE123C"/><w:sz w:val="20"/><w:szCs w:val="20"/></w:rPr>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160" w:before="60" w:line="280"/><w:jc w:val="center"/></w:pPr><w:r><w:rPr><w:rFonts w:ascii="Calibri" w:cs="Calibri" w:eastAsia="Calibri" w:hAnsi="Calibri"/><w:b w:val="false"/><w:bCs w:val="false"/><w:i w:val="false"/><w:iCs w:val="false"/><w:caps/><w:color w:val="94A3B8"/><w:sz w:val="17"/><w:szCs w:val="17"/></w:rPr><w:t xml:space="preserve">Engineering Reference — Internal / NDA-Restricted</w:t></w:r></w:p><w:p><w:pPr><w:spacing w:after="80" w:before="60" w:line="280"/><w:jc w:val="center"/></w:pPr><w:r><w:rPr><w:rFonts w:ascii="Calibri" w:cs="Calibri" w:eastAsia="Calibri" w:hAnsi="Calibri"/><w:b/><w:bCs/><w:i w:val="false"/><w:iCs w:val="false"/><w:caps w:val="false"/><w:color w:val="0F172A"/><w:sz w:val="36"/><w:szCs w:val="36"/></w:rPr><w:t xml:space="preserve">V4.5 Release Notes</w:t></w:r></w:p><w:p><w:pPr><w:spacing w:after="200" w:before="60" w:line="280"/><w:jc w:val="center"/></w:pPr><w:r><w:rPr><w:rFonts w:ascii="Calibri" w:cs="Calibri" w:eastAsia="Calibri" w:hAnsi="Calibri"/><w:b w:val="false"/><w:bCs w:val="false"/><w:i/><w:iCs/><w:caps w:val="false"/><w:color w:val="475569"/><w:sz w:val="22"/><w:szCs w:val="22"/></w:rPr><w:t xml:space="preserve">Operator-facing changelog: retrieval correctness, operability, distribution</w:t></w:r></w:p><w:p><w:pPr><w:spacing w:after="40" w:before="60" w:line="280"/><w:jc w:val="center"/></w:pPr><w:r><w:rPr><w:rFonts w:ascii="Calibri" w:cs="Calibri" w:eastAsia="Calibri" w:hAnsi="Calibri"/><w:b/><w:bCs/><w:i w:val="false"/><w:iCs w:val="false"/><w:caps w:val="false"/><w:color w:val="0F172A"/><w:sz w:val="22"/><w:szCs w:val="22"/></w:rPr><w:t xml:space="preserve">Michael Simon Bodner, Ph.D.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0F3460"/><w:sz w:val="18"/><w:szCs w:val="18"/></w:rPr><w:t xml:space="preserve">Founder &amp; Chief Scientist, InformationPhysics.ai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475569"/><w:sz w:val="18"/><w:szCs w:val="18"/></w:rPr><w:t xml:space="preserve">April 2026 — Software Version V4.5.0</w:t></w:r></w:p><w:p><w:pPr><w:spacing w:after="40" w:before="60" w:line="280"/><w:jc w:val="center"/></w:pPr><w:r><w:rPr><w:rFonts w:ascii="Consolas" w:cs="Consolas" w:eastAsia="Consolas" w:hAnsi="Consolas"/><w:b w:val="false"/><w:bCs w:val="false"/><w:i w:val="false"/><w:iCs w:val="false"/><w:caps w:val="false"/><w:color w:val="475569"/><w:sz w:val="16"/><w:szCs w:val="16"/></w:rPr><w:t xml:space="preserve">Railway production + Electron DMG variants (Full / Cloud / Local)</w:t></w:r></w:p><w:p><w:pPr><w:spacing w:after="2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94A3B8"/><w:sz w:val="16"/><w:szCs w:val="16"/></w:rPr><w:t xml:space="preserve">© 2026 InformationPhysics.ai, LLC. All rights reserved.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tcMar><w:top w:type="dxa" w:w="200"/><w:left w:type="dxa" w:w="240"/><w:bottom w:type="dxa" w:w="200"/><w:right w:type="dxa" w:w="240"/></w:tcMar></w:tcPr><w:p><w:pPr><w:spacing w:after="120" w:before="0"/></w:pPr><w:r><w:rPr><w:rFonts w:ascii="Calibri" w:cs="Calibri" w:eastAsia="Calibri" w:hAnsi="Calibri"/><w:b/><w:bCs/><w:color w:val="1F3864"/><w:sz w:val="24"/><w:szCs w:val="24"/></w:rPr><w:t xml:space="preserve">Abstract</w:t></w:r></w:p><w:p><w:pPr><w:spacing w:after="0" w:before="0" w:line="300"/></w:pPr><w:r><w:rPr><w:rFonts w:ascii="Calibri" w:cs="Calibri" w:eastAsia="Calibri" w:hAnsi="Calibri"/><w:color w:val="475569"/><w:sz w:val="21"/><w:szCs w:val="21"/></w:rPr><w:t xml:space="preserve">Retrieval correctness (migrations 029/031, cap-by-CSV, HSL aliasing, Jaccard dedup), operability (Models tab, Daily Token Budget, Benchmark dropdown, embedded report viewer, Linkage view, Fix Broken MROs), UI polish, distribution (three DMG variants + signing infrastructure), shipped migrations, new endpoints, and the eight silent regressions caught and fixed.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1.  Retrieval Correctness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1.1  Migration 029 — HSL inverted index population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ier_refresh_hsl() was only parsing the element columns (which carry AIO row refs like &quot;acc_rfis.csv - Row 162&quot;, not [Key.Value] tokens). The actual bracket token lives in hsl_data.hsl_name (e.g. [Project ID.PRJ-003].hsl). Migration 029 extends the function to parse both and backfills every existing HSL. Before: cue-to-HSL probes returned 0. After: returned the right HSL set.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1.2  Cap-by-CSV diversity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Both pipelines (frontend Recall in lib/aio-math.ts, backend Live in api/search_helpers.py) used a flat top-N cap on the matched AIO list. On corpora dominated by one CSV (the demo is 80% AIA305), the flat cap filled with AIA305 and starved the operational CSVs. Both paths now bucket by OriginalCSV first and take a fair per-CSV share before back-filling.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1.3  HSL field-name aliasing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lib/hsl-aliases.ts folds equivalent field names (Project_ID, Project ID, Projects Assigned, Applicable Projects, Active Projects) to a single canonical Project for cue matching. Frontend-only for V1 so the alias table can iterate without DB migrations.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1.4  Migration 031 — IER trigram index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Trigram-tolerant fallback in find-by-needles-full. Catches paraphrases the exact path doesn&apos;t handle (&quot;PRJ 003&quot; vs &quot;PRJ-003&quot;).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1.5  Element-set Jaccard dedup at substrate-build time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Collapses near-duplicates from cross-CSV reposts of the same entity at threshold 0.85. Provenance-key (OriginalCSV, RowNumber) excluded from comparison.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1.6  Recall maxAios cap raise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Default substrate cap raised from 40 → 200 across the chat dialog, runChatPipeline default, assembleBundle default, and benchmarks. Closes the cap-mismatch gap with Live Search&apos;s adaptive 100–300 cap on aggregation queries.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2.  Operability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2.1  System Management → Models tab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Runtime LLM model selection. Two slots: a default model (used by all four modes plus summarize / entity-resolution) and an optional parse-phase override for Live Search. Saved to system_settings, no restart needed. Resolution order: system_settings → env var → fallback.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2.2  Daily Token Budget pane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Live progress bar showing used_today / limit with green/amber/red thresholds, plus inputs for per-tenant override and global default. Eliminates the &quot;drop into psql to fix the budget&quot; friction.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2.3  R&amp;D — Benchmark dropdown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Full-screen benchmark runner with side-by-side metrics, verbatim replies for all four modes, Print / Save-as-PDF, and a 10-prompt catalog.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2.4  References — embedded inline viewer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Technical reports and traces open as full-screen pages instead of triggering downloads. mammoth converts the .docx to HTML in the browser; the .docx files still live in public/docs/.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2.5  MRO Linkage view + Fix Broken MROs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Renders every MRO and its current HSL back-pointer set in a sortable table with stale/orphan badges. Fix Broken MROs button runs a dual-pass repair (add missing back-pointers + sweep stale tokens).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2.6  Cache bypass on interactive Live Search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aioSearchChat / aioSearchChatStream accept opt-in bypassCache: true. Chat dialog and benchmark runner pass true so users iterating through the UI never see a stale cached reply mask a deployed retrieval fix.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3.  UI Polish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Edge-to-edge &quot;Information Physics Standard Model&quot; banner on the home page (navy gradient, responsive type).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ChatAIO header recentered with serif title and centered five-button action group.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Rich markdown rendering in assistant replies (headings, lists, blockquotes, code blocks, tables, links) with PDF export parity.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PDF import progress UI with elapsed-time counter, file-size + estimated-chunk preview, and explicit &quot;request is still alive&quot; copy on multi-chunk runs.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4.  Distribution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Electron code signing &amp; notarization wired (Apple Developer ID + hardened runtime + entitlements).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Three DMG variants: Full (V4.5), Cloud-stripped (V4.5C), Local-only (V4.5L).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V4.5L and V4.5C variants use sed-swap of bundled frontend strings and DMG volume label so the variant is identifiable at a glance.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5.  Shipped Migrations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00"/><w:gridCol w:w="4000"/><w:gridCol w:w="5200"/></w:tblGrid><w:tr><w:trPr><w:tblHeader/></w:trPr><w:tc><w:tcPr><w:tcW w:type="dxa" w:w="4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onsolas" w:cs="Consolas" w:eastAsia="Consolas" w:hAnsi="Consolas"/><w:b/><w:bCs/><w:color w:val="FFFFFF"/><w:sz w:val="19"/><w:szCs w:val="19"/></w:rPr><w:t xml:space="preserve">#</w:t></w:r></w:p></w:tc><w:tc><w:tcPr><w:tcW w:type="dxa" w:w="4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Filename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Purpose</w:t></w:r></w:p></w:tc></w:tr><w:tr><w:tc><w:tcPr><w:tcW w:type="dxa" w:w="4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029</w:t></w:r></w:p></w:tc><w:tc><w:tcPr><w:tcW w:type="dxa" w:w="4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029_fix_hsl_ier_index.sql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Extend ier_refresh_hsl to parse hsl_name + backfill</w:t></w:r></w:p></w:tc></w:tr><w:tr><w:tc><w:tcPr><w:tcW w:type="dxa" w:w="4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030</w:t></w:r></w:p></w:tc><w:tc><w:tcPr><w:tcW w:type="dxa" w:w="4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030_seed_default_admin.sql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Seed default admin user with bcrypt cost-12 password</w:t></w:r></w:p></w:tc></w:tr><w:tr><w:tc><w:tcPr><w:tcW w:type="dxa" w:w="4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031</w:t></w:r></w:p></w:tc><w:tc><w:tcPr><w:tcW w:type="dxa" w:w="4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031_information_element_refs_trigram.sql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GIN trigram index on IER for fuzzy fallback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6.  Silent Regressions Caught and Fixed</w:t></w:r></w:p><0/><w:p><w:pPr><w:pBdr><w:top w:val="single" w:color="CBD5E1" w:sz="6" w:space="4"/></w:pBdr><w:spacing w:after="80" w:before="320"/></w:pPr><w:r><w:t xml:space="preserve"></w:t></w:r></w:p><w:p><w:pPr><w:spacing w:after="4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Prepared by InformationPhysics.ai, LLC.  Confidential — subject to the Transaction-Grade One-Way NDA on file.</w:t></w:r></w:p><w:p><w:pPr><w:spacing w:after="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© 2026 InformationPhysics.ai, LLC. All rights reserved.</w:t></w:r></w:p><w:sectPr><w:headerReference w:type="default" r:id="rId7"/><w:footerReference w:type="default" r:id="rId8"/><w:pgSz w:w="12240" w:h="15840" w:orient="portrait"/><w:pgMar w:top="1180" w:right="1320" w:bottom="1180" w:left="1320" w:header="720" w:footer="720" w:gutter="0"/><w:pgNumType/><w:titlePg w:val="false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V4.5 Release Notes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V4.5 Release Notes</dc:title>
  <dc:creator>Information Physics — ChatAIO Engineering</dc:creator>
  <dc:description>V4.5 Release Notes — V4.5</dc:description>
  <cp:lastModifiedBy>Un-named</cp:lastModifiedBy>
  <cp:revision>1</cp:revision>
  <dcterms:created xsi:type="dcterms:W3CDTF">2026-05-01T14:10:51.148Z</dcterms:created>
  <dcterms:modified xsi:type="dcterms:W3CDTF">2026-05-01T14:10:51.148Z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