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090"/>
          <w:sz w:val="20"/>
          <w:szCs w:val="20"/>
        </w:rPr>
        <w:t xml:space="preserve">CONFIDENTIAL — Trade Secret Reference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Information Physics — ChatAIO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Information Physics — Architecture Overview</w:t>
      </w:r>
    </w:p>
    <w:p>
      <w:pPr>
        <w:spacing w:after="2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2"/>
          <w:szCs w:val="22"/>
        </w:rPr>
        <w:t xml:space="preserve">The three-layer model, four ChatAIO modes, and the trade-secret invariants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V4.5 · April 2026</w:t>
      </w:r>
    </w:p>
    <w:p>
      <w:pPr>
        <w:spacing w:after="3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06060"/>
          <w:sz w:val="18"/>
          <w:szCs w:val="18"/>
        </w:rPr>
        <w:t xml:space="preserve">Subject to NDA on file. Not for redistribution.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The Premise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Conventional retrieval-augmented generation (RAG) treats text as the substrate and vectors as the index. Information Physics inverts this: relational anchors are the substrate, and language is the renderer. Every record in the system is a self-describing observation in bracket notation; every relationship between records is a precomputed deterministic anchor; every retrieval is a graph lookup, not a similarity search.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This document is the structural overview. For deeper algorithmic detail, see the cue-extraction technote, the substrate-trim technote, and the MRO lifecycle technote.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The Three Layers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2.1 AIOs (Layer 1 — Observation)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Associated Information Objects. Every CSV row, every PDF table cell, every ingested record becomes one AIO — a string of bracket-notation tokens [Key.Value][Key.Value]… stored as a single row in aio_data with up to 50 element columns. AIOs are the only first-class data citizens; every higher layer is derived from them.</w:t>
      </w:r>
    </w:p>
    <w:p>
      <w:pPr>
        <w:shd w:fill="F2F2F2" w:val="clear"/>
        <w:spacing w:after="80" w:before="80"/>
      </w:pPr>
      <w:r>
        <w:rPr>
          <w:rFonts w:ascii="Consolas" w:cs="Consolas" w:eastAsia="Consolas" w:hAnsi="Consolas"/>
          <w:color w:val="111111"/>
          <w:sz w:val="17"/>
          <w:szCs w:val="17"/>
        </w:rPr>
        <w:t xml:space="preserve">[OriginalCSV.acc_rfis.csv][Project ID.PRJ-003]
[Title.EV Charging Conduit Routing][Status.Open]
[Submitted By.Angela Brooks][Assigned To.Sarah Mitchell]
[Priority.Low][Discipline.Electrical]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2.2 HSLs (Relational — Anchor)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Hyper-Semantic Layer records. For every [Key.Value] pair shared by two or more AIOs, an HSL is synthesized whose name encodes the anchor and whose member list points to the contributing AIOs. Stored in hsl_data + hsl_member. The HSL topology is a deterministic function of the AIO set — recomputable, never hand-edited.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Example: an HSL named [Project ID.PRJ-003].hsl whose hsl_member rows list every acc_rfis, acc_issues, acc_submittals row that contains [Project ID.PRJ-003] in its element columns. Querying by HSL name is O(1); the members are the join.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AIO insert / update fires synth_hsls_for_aio inline (added in migration 023), so the topology stays coherent without operator intervention. Bulk HSL Build is now a recovery / forensic tool, not a routine action.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2.3 MROs (Layer 2 — Memory)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Memory Result Objects. Every successful Recall or Live Search persists its retrieval episode { query, cue_set, seed_hsls, result_text, trust_score, confidence } as an MRO. On subsequent queries, the MRO layer is searched first: at score ≥ 0.85 the prior reply is returned directly (zero LLM cost); at score ≥ 0.50 it's injected as framing context; at score ≥ 0.30 its cue_set is unioned with the fresh extraction. trust_score on each MRO is bumped on reuse, so frequently-useful episodes rise to the top of the priors-by-relevance ranking.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The Four ChatAIO Modes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Same query string runs differently across four modes. The architecture is the same; the substrate composition differs.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00"/>
        <w:gridCol w:w="1900"/>
        <w:gridCol w:w="2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Mode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Substrate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Token cost (typical)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Recall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 priors + cue-anchored AIO neighborhood + HSL gating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Lowest — short-circuits on prior episodes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Repeated queries; entity probes; person workload analysis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Live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parse → HSL match → AIO gather → synthesize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Low–medium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Fresh queries with strong filter semantics; numeric aggregation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Broad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Entire AIO corpus dumped as context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Highest — every AIO every query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Open-ended exploration; cost not a concern; wide aggregation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Raw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Saved CSV files only; no AIO/HSL/MRO substrate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Null baseline — what would Claude do without our infrastructure?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Trade-Secret Invariants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deliberate architectural choices distinguish Information Physics from a conventional embedding-RAG implementation. They are documented here as invariants — anything that contradicts them is an architectural change, not a bug fix.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4.1 No LLM in the cue path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step from query → Cue Set → HSL ids → AIO scope is deterministic. Embedding RAG calls a model to produce a query embedding; we do not. The Cue Set is reproducible across runs, machines, and operators — same query against same corpus always lights the same HSLs. This makes regression testing tractable and makes the retrieval graph an auditable artifact.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4.2 Cues carry concrete keys whenever possible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HSL catalog (sourced from /v1/hsl-data/key-value-pairs) lets cue extraction emit cues with their original key — `[Project.PRJ-003]` rather than `[*.PRJ-003]`. The wildcard form is a fallback. SQL pruning by field equality first, value match second; on the demo corpus this is a 5–20× speed-up vs. the wildcard path.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4.3 The HSL catalog IS the substrate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Embedding RAG treats vectors as a derived index — they accelerate lookup, but truth is in the source documents. Information Physics inverts this: the HSL anchors ARE the truth. Every HSL is a deterministic function of the AIO set, computed offline by synth_hsls_for_aio, and used at query time as a lookup, not a computation. The cue path produces a Set&lt;HSL&gt; that the LLM consumes; the LLM is told to ground every claim in the HSL-pointed AIOs and never elsewhere.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Implementation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Next.js 16 + React 19 + TypeScript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SPA, ChatAIO dialog, System Management, R&amp;D, References, Benchmark runner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API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FastAPI + Python 3.11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AIO/HSL/MRO CRUD, four-phase aio-search, substrate-chat, mro-search, find-by-needles-full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15 + pg_trgm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Source-of-truth storage; inverted index (information_element_refs); GIN trigram for fuzzy match (mig 031)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LLM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Anthropic Claude (model selectable at runtime)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Synthesis only — every retrieval decision is upstream of the LLM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Hosting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Railway (cloud) + Electron DMG (local)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Same code, three deployment shapes (full-cloud, cloud-stripped, fully-local)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Why This Matters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differentiators that come out of the architecture, in business-relevant terms: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6.1 Audit-grade reproducibility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regulator, an internal auditor, or a counterparty can ask 'why did the system answer X?' and the answer is a deterministic graph traversal — not a similarity score against an opaque embedding. Same query, same data, same cue set, same HSLs, same answer. Every time.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6.2 Cost discipline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MRO short-circuit means repeated queries cost zero LLM tokens after first run. The cap-by-CSV diversity step ensures we never pay for redundant context just because one CSV happens to be larger. Element-set Jaccard dedup collapses cross-CSV duplicates of the same entity. On the demo corpus, multi-CSV joins use 60–70% fewer tokens than the equivalent embedding-RAG implementation while producing comparable answers.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6.3 Data does not leave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CLOUD_MODE=false (the local DMG), the only outbound network call is to the Anthropic API for the LLM synthesis step. Every retrieval decision happens on the local Mac. Customers with data-residency or air-gap constraints can use the system without exposing the underlying corpus to a cloud service.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The Demo Dataset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system ships with a synthetic construction-portfolio demo corpus designed to exercise every architectural property: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61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Count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AIA305 Sample.csv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474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Project portfolio with detailed financials. Heavy/wide records — primary stress source for diversity-cap behavior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acc_cost_codes.csv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Cost code catalog with comma-separated 'Applicable Projects' field — exercises multi-value HSL pattern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acc_vendors.csv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Vendor records with 'Projects Assigned' field — three-hop traversal target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acc_submittals.csv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 submittals — workflow-trace records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acc_employees.csv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Employee directory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acc_rfis.csv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Requests for information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acc_issues.csv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Field-issue records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acc_customers.csv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Customer directory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acc_projects.csv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Detailed project metadata — overlaps with AIA305 entities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Total: 589 AIO rows, ~1,200 HSL key-value pairs, 9 source CSVs.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Embedding-similarity (Stage 3 fuzzy)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Add a vector column to information_elements. Catches paraphrases the trigram path doesn't handle. Largest payoff, largest dependency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MRO TTL + version tagging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Auto-expire MROs and stamp them with the retrieval-pipeline git SHA. Avoids stale-cache poisoning during retrieval-quality improvements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Promote canonicalField to backend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Move alias table from lib/hsl-aliases.ts into a Postgres function used by ier_refresh_hsl. Removes the per-query fold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Multi-tenant alias overrides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Tenant-specific extensions to the alias map. Some customers will have schema variations the global alias table doesn't capture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Write-through SDK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Customer-facing library that lets external apps INSERT into aio_data + trigger synth_hsls_for_aio without going through the SPA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3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End of document.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08080"/>
          <w:sz w:val="16"/>
          <w:szCs w:val="16"/>
        </w:rPr>
        <w:t xml:space="preserve">Generated 2026-04-29T16:42:01.981Z · Information Physics V4.5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E50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2026-04-29T16:42:01.981Z</dcterms:created>
  <dcterms:modified xsi:type="dcterms:W3CDTF">2026-04-29T16:42:01.981Z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