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before="60"/>
        <w:jc w:val="center"/>
      </w:pPr>
      <w:r>
        <w:rPr>
          <w:rFonts w:ascii="Calibri" w:cs="Calibri" w:eastAsia="Calibri" w:hAnsi="Calibri"/>
          <w:b/>
          <w:bCs/>
          <w:i w:val="false"/>
          <w:iCs w:val="false"/>
          <w:color w:val="2E5090"/>
          <w:sz w:val="20"/>
          <w:szCs w:val="20"/>
        </w:rPr>
        <w:t xml:space="preserve">CONFIDENTIAL — Trade Secret Reference</w:t>
      </w:r>
    </w:p>
    <w:p>
      <w:pPr>
        <w:spacing w:after="60" w:before="60"/>
        <w:jc w:val="center"/>
      </w:pPr>
      <w:r>
        <w:rPr>
          <w:rFonts w:ascii="Calibri" w:cs="Calibri" w:eastAsia="Calibri" w:hAnsi="Calibri"/>
          <w:b/>
          <w:bCs/>
          <w:i w:val="false"/>
          <w:iCs w:val="false"/>
          <w:color w:val="1F3864"/>
          <w:sz w:val="36"/>
          <w:szCs w:val="36"/>
        </w:rPr>
        <w:t xml:space="preserve">Information Physics — ChatAIO</w:t>
      </w:r>
    </w:p>
    <w:p>
      <w:pPr>
        <w:spacing w:after="60" w:before="60"/>
        <w:jc w:val="center"/>
      </w:pPr>
      <w:r>
        <w:rPr>
          <w:rFonts w:ascii="Calibri" w:cs="Calibri" w:eastAsia="Calibri" w:hAnsi="Calibri"/>
          <w:b/>
          <w:bCs/>
          <w:i w:val="false"/>
          <w:iCs w:val="false"/>
          <w:color w:val="1F3864"/>
          <w:sz w:val="32"/>
          <w:szCs w:val="32"/>
        </w:rPr>
        <w:t xml:space="preserve">Benchmark Catalog Reference</w:t>
      </w:r>
    </w:p>
    <w:p>
      <w:pPr>
        <w:spacing w:after="220" w:before="60"/>
        <w:jc w:val="center"/>
      </w:pPr>
      <w:r>
        <w:rPr>
          <w:rFonts w:ascii="Calibri" w:cs="Calibri" w:eastAsia="Calibri" w:hAnsi="Calibri"/>
          <w:b w:val="false"/>
          <w:bCs w:val="false"/>
          <w:i/>
          <w:iCs/>
          <w:color w:val="2E5090"/>
          <w:sz w:val="22"/>
          <w:szCs w:val="22"/>
        </w:rPr>
        <w:t xml:space="preserve">Print-friendly version of the 10 saved ChatAIO benchmarks — full prompts, mode recommendations, evaluation rubrics</w:t>
      </w:r>
    </w:p>
    <w:p>
      <w:pPr>
        <w:spacing w:after="60" w:before="60"/>
        <w:jc w:val="center"/>
      </w:pPr>
      <w:r>
        <w:rPr>
          <w:rFonts w:ascii="Calibri" w:cs="Calibri" w:eastAsia="Calibri" w:hAnsi="Calibri"/>
          <w:b w:val="false"/>
          <w:bCs w:val="false"/>
          <w:i/>
          <w:iCs/>
          <w:color w:val="2E5090"/>
          <w:sz w:val="20"/>
          <w:szCs w:val="20"/>
        </w:rPr>
        <w:t xml:space="preserve">V4.5 · April 2026</w:t>
      </w:r>
    </w:p>
    <w:p>
      <w:pPr>
        <w:spacing w:after="320" w:before="60"/>
        <w:jc w:val="center"/>
      </w:pPr>
      <w:r>
        <w:rPr>
          <w:rFonts w:ascii="Calibri" w:cs="Calibri" w:eastAsia="Calibri" w:hAnsi="Calibri"/>
          <w:b w:val="false"/>
          <w:bCs w:val="false"/>
          <w:i/>
          <w:iCs/>
          <w:color w:val="606060"/>
          <w:sz w:val="18"/>
          <w:szCs w:val="18"/>
        </w:rPr>
        <w:t xml:space="preserve">Subject to NDA on file. Not for redistribution.</w:t>
      </w:r>
    </w:p>
    <w:p>
      <w:r>
        <w:br w:type="page"/>
      </w:r>
    </w:p>
    <w:p>
      <w:pPr>
        <w:pStyle w:val="Heading1"/>
        <w:spacing w:after="140" w:before="280"/>
      </w:pPr>
      <w:r>
        <w:rPr>
          <w:rFonts w:ascii="Calibri" w:cs="Calibri" w:eastAsia="Calibri" w:hAnsi="Calibri"/>
          <w:b/>
          <w:bCs/>
          <w:color w:val="1F3864"/>
          <w:sz w:val="32"/>
          <w:szCs w:val="32"/>
        </w:rPr>
        <w:t xml:space="preserve">1. Purpose</w:t>
      </w:r>
    </w:p>
    <w:p>
      <w:pPr>
        <w:spacing w:after="60" w:before="60"/>
        <w:jc w:val="left"/>
      </w:pPr>
      <w:r>
        <w:rPr>
          <w:rFonts w:ascii="Calibri" w:cs="Calibri" w:eastAsia="Calibri" w:hAnsi="Calibri"/>
          <w:b w:val="false"/>
          <w:bCs w:val="false"/>
          <w:i w:val="false"/>
          <w:iCs w:val="false"/>
          <w:color w:val="000000"/>
          <w:sz w:val="20"/>
          <w:szCs w:val="20"/>
        </w:rPr>
        <w:t xml:space="preserve">Print-friendly companion to the in-app Benchmark Guide. Each benchmark in the V4.5 catalog is reproduced verbatim with full prompt body, the retrieval characteristic it stresses, the recommended ChatAIO mode for primary evaluation, and the dataset answer-key concept. The catalog itself lives in lib/benchmarks.ts; this document is generated from the same source so the two stay aligned.</w:t>
      </w:r>
    </w:p>
    <w:p>
      <w:pPr>
        <w:pStyle w:val="Heading1"/>
        <w:spacing w:after="140" w:before="280"/>
      </w:pPr>
      <w:r>
        <w:rPr>
          <w:rFonts w:ascii="Calibri" w:cs="Calibri" w:eastAsia="Calibri" w:hAnsi="Calibri"/>
          <w:b/>
          <w:bCs/>
          <w:color w:val="1F3864"/>
          <w:sz w:val="32"/>
          <w:szCs w:val="32"/>
        </w:rPr>
        <w:t xml:space="preserve">2. How to Run</w:t>
      </w:r>
    </w:p>
    <w:p>
      <w:pPr>
        <w:spacing w:after="60" w:before="60"/>
        <w:jc w:val="left"/>
      </w:pPr>
      <w:r>
        <w:rPr>
          <w:rFonts w:ascii="Calibri" w:cs="Calibri" w:eastAsia="Calibri" w:hAnsi="Calibri"/>
          <w:b w:val="false"/>
          <w:bCs w:val="false"/>
          <w:i w:val="false"/>
          <w:iCs w:val="false"/>
          <w:color w:val="000000"/>
          <w:sz w:val="20"/>
          <w:szCs w:val="20"/>
        </w:rPr>
        <w:t xml:space="preserve">Three entry points, all reading from the same lib/benchmarks.ts catalog:</w:t>
      </w:r>
    </w:p>
    <w:p>
      <w:pPr>
        <w:shd w:fill="F2F2F2" w:val="clear"/>
        <w:spacing w:after="80" w:before="80"/>
      </w:pPr>
      <w:r>
        <w:rPr>
          <w:rFonts w:ascii="Consolas" w:cs="Consolas" w:eastAsia="Consolas" w:hAnsi="Consolas"/>
          <w:color w:val="111111"/>
          <w:sz w:val="17"/>
          <w:szCs w:val="17"/>
        </w:rPr>
        <w:t xml:space="preserve"># In-app: R&amp;D → Benchmark dropdown → pick → full-screen runner
# CLI:    BENCHMARK=N pnpm dlx tsx scripts/measure_modes.ts
# Trace:  BENCHMARK=N MRO_BYPASS=1 pnpm dlx tsx scripts/trace_recall.ts</w:t>
      </w:r>
    </w:p>
    <w:p>
      <w:pPr>
        <w:pStyle w:val="Heading1"/>
        <w:spacing w:after="140" w:before="280"/>
      </w:pPr>
      <w:r>
        <w:rPr>
          <w:rFonts w:ascii="Calibri" w:cs="Calibri" w:eastAsia="Calibri" w:hAnsi="Calibri"/>
          <w:b/>
          <w:bCs/>
          <w:color w:val="1F3864"/>
          <w:sz w:val="32"/>
          <w:szCs w:val="32"/>
        </w:rPr>
        <w:t xml:space="preserve">Benchmark 1 — Multi-CSV Project Join (PRJ-003)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r>
              <w:rPr>
                <w:rFonts w:ascii="Calibri" w:cs="Calibri" w:eastAsia="Calibri" w:hAnsi="Calibri"/>
                <w:b/>
                <w:bCs/>
                <w:color w:val="000000"/>
                <w:sz w:val="18"/>
                <w:szCs w:val="18"/>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r>
              <w:rPr>
                <w:rFonts w:ascii="Calibri" w:cs="Calibri" w:eastAsia="Calibri" w:hAnsi="Calibri"/>
                <w:b/>
                <w:bCs/>
                <w:color w:val="000000"/>
                <w:sz w:val="18"/>
                <w:szCs w:val="18"/>
              </w:rPr>
              <w:t xml:space="preserve">Value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Best mode</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Recall, then Live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What you'll learn</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Multi-CSV diversity cap; Jaccard dedup behavior</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Stresses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HSL pointer index for PRJ-003 across acc_rfis ∪ acc_issues ∪ acc_submittals ∪ acc_cost_codes ∪ acc_vendors. Strict filter compliance.</w:t>
            </w:r>
          </w:p>
        </w:tc>
      </w:tr>
    </w:tbl>
    <w:p>
      <w:pPr>
        <w:pStyle w:val="Heading2"/>
        <w:spacing w:after="100" w:before="220"/>
      </w:pPr>
      <w:r>
        <w:rPr>
          <w:rFonts w:ascii="Calibri" w:cs="Calibri" w:eastAsia="Calibri" w:hAnsi="Calibri"/>
          <w:b/>
          <w:bCs/>
          <w:color w:val="2E5090"/>
          <w:sz w:val="26"/>
          <w:szCs w:val="26"/>
        </w:rPr>
        <w:t xml:space="preserve">Prompt body</w:t>
      </w:r>
    </w:p>
    <w:p>
      <w:pPr>
        <w:spacing w:after="60" w:before="60"/>
        <w:jc w:val="left"/>
      </w:pPr>
      <w:r>
        <w:rPr>
          <w:rFonts w:ascii="Consolas" w:cs="Consolas" w:eastAsia="Consolas" w:hAnsi="Consolas"/>
          <w:b w:val="false"/>
          <w:bCs w:val="false"/>
          <w:i w:val="false"/>
          <w:iCs w:val="false"/>
          <w:color w:val="000000"/>
          <w:sz w:val="18"/>
          <w:szCs w:val="18"/>
        </w:rPr>
        <w:t xml:space="preserve">For Project ID PRJ-003 (Greenway Office Park - Phase 2):</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1. List every Open RFI and every Open Issue tied to this project. For each, give: ID, Title, Assigned To, Priority, and Due Date.</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2. Group those open items by Assigned To and report a count per person.</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3. List every Cost Code whose Applicable Projects field names PRJ-003. Give Cost Code, Cost Code Name, and Division Name.</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4. List every Vendor whose Projects Assigned field names PRJ-003. Give Vendor ID, Vendor Name, Status, and Trade/Specialty.</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5. From the Submittal records for PRJ-003, give a count grouped by Status.</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6. Across all six person fields touched by PRJ-003 — RFI Submitted By, RFI Assigned To, Issue Reported By, Issue Assigned To, Submittal Submitted By, Submittal Reviewed By — report the total count of distinct people who appear in any record tied to PRJ-003, and list them.</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Apply each filter strictly: do not list non-matching items, do not annotate them with a rejection mark.</w:t>
      </w:r>
    </w:p>
    <w:p>
      <w:r>
        <w:br w:type="page"/>
      </w:r>
    </w:p>
    <w:p>
      <w:pPr>
        <w:pStyle w:val="Heading1"/>
        <w:spacing w:after="140" w:before="280"/>
      </w:pPr>
      <w:r>
        <w:rPr>
          <w:rFonts w:ascii="Calibri" w:cs="Calibri" w:eastAsia="Calibri" w:hAnsi="Calibri"/>
          <w:b/>
          <w:bCs/>
          <w:color w:val="1F3864"/>
          <w:sz w:val="32"/>
          <w:szCs w:val="32"/>
        </w:rPr>
        <w:t xml:space="preserve">Benchmark 2 — Named-Entity Person Probe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r>
              <w:rPr>
                <w:rFonts w:ascii="Calibri" w:cs="Calibri" w:eastAsia="Calibri" w:hAnsi="Calibri"/>
                <w:b/>
                <w:bCs/>
                <w:color w:val="000000"/>
                <w:sz w:val="18"/>
                <w:szCs w:val="18"/>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r>
              <w:rPr>
                <w:rFonts w:ascii="Calibri" w:cs="Calibri" w:eastAsia="Calibri" w:hAnsi="Calibri"/>
                <w:b/>
                <w:bCs/>
                <w:color w:val="000000"/>
                <w:sz w:val="18"/>
                <w:szCs w:val="18"/>
              </w:rPr>
              <w:t xml:space="preserve">Value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Best mode</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Recall (MRO short-circuits after first run)</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What you'll learn</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Person-cue HSL fan-out, name fuzzy match</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Stresses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Short-token cue against a person-anchored HSL family. After the first run the MRO score climbs to 0.85+, demonstrating short-circuit behavior.</w:t>
            </w:r>
          </w:p>
        </w:tc>
      </w:tr>
    </w:tbl>
    <w:p>
      <w:pPr>
        <w:pStyle w:val="Heading2"/>
        <w:spacing w:after="100" w:before="220"/>
      </w:pPr>
      <w:r>
        <w:rPr>
          <w:rFonts w:ascii="Calibri" w:cs="Calibri" w:eastAsia="Calibri" w:hAnsi="Calibri"/>
          <w:b/>
          <w:bCs/>
          <w:color w:val="2E5090"/>
          <w:sz w:val="26"/>
          <w:szCs w:val="26"/>
        </w:rPr>
        <w:t xml:space="preserve">Prompt body</w:t>
      </w:r>
    </w:p>
    <w:p>
      <w:pPr>
        <w:spacing w:after="60" w:before="60"/>
        <w:jc w:val="left"/>
      </w:pPr>
      <w:r>
        <w:rPr>
          <w:rFonts w:ascii="Consolas" w:cs="Consolas" w:eastAsia="Consolas" w:hAnsi="Consolas"/>
          <w:b w:val="false"/>
          <w:bCs w:val="false"/>
          <w:i w:val="false"/>
          <w:iCs w:val="false"/>
          <w:color w:val="000000"/>
          <w:sz w:val="18"/>
          <w:szCs w:val="18"/>
        </w:rPr>
        <w:t xml:space="preserve">What roles does James Okafor hold. List projects and financials for each.</w:t>
      </w:r>
    </w:p>
    <w:p>
      <w:r>
        <w:br w:type="page"/>
      </w:r>
    </w:p>
    <w:p>
      <w:pPr>
        <w:pStyle w:val="Heading1"/>
        <w:spacing w:after="140" w:before="280"/>
      </w:pPr>
      <w:r>
        <w:rPr>
          <w:rFonts w:ascii="Calibri" w:cs="Calibri" w:eastAsia="Calibri" w:hAnsi="Calibri"/>
          <w:b/>
          <w:bCs/>
          <w:color w:val="1F3864"/>
          <w:sz w:val="32"/>
          <w:szCs w:val="32"/>
        </w:rPr>
        <w:t xml:space="preserve">Benchmark 3 — Cross-CSV Financial Rollup (PRJ-002)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r>
              <w:rPr>
                <w:rFonts w:ascii="Calibri" w:cs="Calibri" w:eastAsia="Calibri" w:hAnsi="Calibri"/>
                <w:b/>
                <w:bCs/>
                <w:color w:val="000000"/>
                <w:sz w:val="18"/>
                <w:szCs w:val="18"/>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r>
              <w:rPr>
                <w:rFonts w:ascii="Calibri" w:cs="Calibri" w:eastAsia="Calibri" w:hAnsi="Calibri"/>
                <w:b/>
                <w:bCs/>
                <w:color w:val="000000"/>
                <w:sz w:val="18"/>
                <w:szCs w:val="18"/>
              </w:rPr>
              <w:t xml:space="preserve">Value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Best mode</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Recall, then Live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What you'll learn</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Cross-CSV financial rollup; Jaccard dedup of the same project across CSVs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Stresses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AIA305 + 5 ops CSVs joined on PRJ-002. Tests Jaccard dedup of cross-CSV duplicates, dollar parsing, gap arithmetic.</w:t>
            </w:r>
          </w:p>
        </w:tc>
      </w:tr>
    </w:tbl>
    <w:p>
      <w:pPr>
        <w:pStyle w:val="Heading2"/>
        <w:spacing w:after="100" w:before="220"/>
      </w:pPr>
      <w:r>
        <w:rPr>
          <w:rFonts w:ascii="Calibri" w:cs="Calibri" w:eastAsia="Calibri" w:hAnsi="Calibri"/>
          <w:b/>
          <w:bCs/>
          <w:color w:val="2E5090"/>
          <w:sz w:val="26"/>
          <w:szCs w:val="26"/>
        </w:rPr>
        <w:t xml:space="preserve">Prompt body</w:t>
      </w:r>
    </w:p>
    <w:p>
      <w:pPr>
        <w:spacing w:after="60" w:before="60"/>
        <w:jc w:val="left"/>
      </w:pPr>
      <w:r>
        <w:rPr>
          <w:rFonts w:ascii="Consolas" w:cs="Consolas" w:eastAsia="Consolas" w:hAnsi="Consolas"/>
          <w:b w:val="false"/>
          <w:bCs w:val="false"/>
          <w:i w:val="false"/>
          <w:iCs w:val="false"/>
          <w:color w:val="000000"/>
          <w:sz w:val="18"/>
          <w:szCs w:val="18"/>
        </w:rPr>
        <w:t xml:space="preserve">For Project ID PRJ-002 (Highland Medical Center Expansion):</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1. Pull the AIA305 financial snapshot (one row): ProjectValue, EstimatedValue, Current_Contract_Value, PaidtoDate, Work_Completed, LSP_Total_Contracts, % Performed_by_LSP.</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2. Compute the gap: ProjectValue − PaidtoDate.</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3. List every Open RFI for PRJ-002.</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4. List every Open Issue for PRJ-002.</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5. List every Submittal for PRJ-002 with Status ≠ Approved, grouped by Status.</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6. From acc_cost_codes.csv: list every Cost Code whose Applicable Projects field includes PRJ-002.</w:t>
      </w:r>
    </w:p>
    <w:p>
      <w:r>
        <w:br w:type="page"/>
      </w:r>
    </w:p>
    <w:p>
      <w:pPr>
        <w:pStyle w:val="Heading1"/>
        <w:spacing w:after="140" w:before="280"/>
      </w:pPr>
      <w:r>
        <w:rPr>
          <w:rFonts w:ascii="Calibri" w:cs="Calibri" w:eastAsia="Calibri" w:hAnsi="Calibri"/>
          <w:b/>
          <w:bCs/>
          <w:color w:val="1F3864"/>
          <w:sz w:val="32"/>
          <w:szCs w:val="32"/>
        </w:rPr>
        <w:t xml:space="preserve">Benchmark 4 — Person Workload (Priya Nair)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r>
              <w:rPr>
                <w:rFonts w:ascii="Calibri" w:cs="Calibri" w:eastAsia="Calibri" w:hAnsi="Calibri"/>
                <w:b/>
                <w:bCs/>
                <w:color w:val="000000"/>
                <w:sz w:val="18"/>
                <w:szCs w:val="18"/>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r>
              <w:rPr>
                <w:rFonts w:ascii="Calibri" w:cs="Calibri" w:eastAsia="Calibri" w:hAnsi="Calibri"/>
                <w:b/>
                <w:bCs/>
                <w:color w:val="000000"/>
                <w:sz w:val="18"/>
                <w:szCs w:val="18"/>
              </w:rPr>
              <w:t xml:space="preserve">Value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Best mode</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Recall</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What you'll learn</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Person cue across 6 fields × 4 CSVs; role-disambiguation aggregation</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Stresses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Person cue across 6 different fields and 4 CSVs, distinct-count aggregation, role disambiguation, dollar-exposure rollup.</w:t>
            </w:r>
          </w:p>
        </w:tc>
      </w:tr>
    </w:tbl>
    <w:p>
      <w:pPr>
        <w:pStyle w:val="Heading2"/>
        <w:spacing w:after="100" w:before="220"/>
      </w:pPr>
      <w:r>
        <w:rPr>
          <w:rFonts w:ascii="Calibri" w:cs="Calibri" w:eastAsia="Calibri" w:hAnsi="Calibri"/>
          <w:b/>
          <w:bCs/>
          <w:color w:val="2E5090"/>
          <w:sz w:val="26"/>
          <w:szCs w:val="26"/>
        </w:rPr>
        <w:t xml:space="preserve">Prompt body</w:t>
      </w:r>
    </w:p>
    <w:p>
      <w:pPr>
        <w:spacing w:after="60" w:before="60"/>
        <w:jc w:val="left"/>
      </w:pPr>
      <w:r>
        <w:rPr>
          <w:rFonts w:ascii="Consolas" w:cs="Consolas" w:eastAsia="Consolas" w:hAnsi="Consolas"/>
          <w:b w:val="false"/>
          <w:bCs w:val="false"/>
          <w:i w:val="false"/>
          <w:iCs w:val="false"/>
          <w:color w:val="000000"/>
          <w:sz w:val="18"/>
          <w:szCs w:val="18"/>
        </w:rPr>
        <w:t xml:space="preserve">What is Priya Nair's complete workload across the system?</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1. Every AIA305 project where Priya Nair appears as Superintendent, ProjectManager, Estimator, ProjectAssistant, or ProjectAccountant.</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2. Every RFI, Issue, and Submittal where Priya Nair is Submitted By, Reported By, Assigned To, or Reviewed By.</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3. Total dollar exposure: sum the ProjectValue of every AIA305 project where she appears in any role.</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4. Status mix of the projects she touches.</w:t>
      </w:r>
    </w:p>
    <w:p>
      <w:r>
        <w:br w:type="page"/>
      </w:r>
    </w:p>
    <w:p>
      <w:pPr>
        <w:pStyle w:val="Heading1"/>
        <w:spacing w:after="140" w:before="280"/>
      </w:pPr>
      <w:r>
        <w:rPr>
          <w:rFonts w:ascii="Calibri" w:cs="Calibri" w:eastAsia="Calibri" w:hAnsi="Calibri"/>
          <w:b/>
          <w:bCs/>
          <w:color w:val="1F3864"/>
          <w:sz w:val="32"/>
          <w:szCs w:val="32"/>
        </w:rPr>
        <w:t xml:space="preserve">Benchmark 5 — Comma-list HSL + Strict Filters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r>
              <w:rPr>
                <w:rFonts w:ascii="Calibri" w:cs="Calibri" w:eastAsia="Calibri" w:hAnsi="Calibri"/>
                <w:b/>
                <w:bCs/>
                <w:color w:val="000000"/>
                <w:sz w:val="18"/>
                <w:szCs w:val="18"/>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r>
              <w:rPr>
                <w:rFonts w:ascii="Calibri" w:cs="Calibri" w:eastAsia="Calibri" w:hAnsi="Calibri"/>
                <w:b/>
                <w:bCs/>
                <w:color w:val="000000"/>
                <w:sz w:val="18"/>
                <w:szCs w:val="18"/>
              </w:rPr>
              <w:t xml:space="preserve">Value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Best mode</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Live or Broad</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What you'll learn</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Comma-list HSL value handling; strict-filter compliance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Stresses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[Applicable Projects.PRJ-001, …, PRJ-005, …].hsl multi-value pattern. Three-way AND filter forces 'drop, don't annotate'.</w:t>
            </w:r>
          </w:p>
        </w:tc>
      </w:tr>
    </w:tbl>
    <w:p>
      <w:pPr>
        <w:pStyle w:val="Heading2"/>
        <w:spacing w:after="100" w:before="220"/>
      </w:pPr>
      <w:r>
        <w:rPr>
          <w:rFonts w:ascii="Calibri" w:cs="Calibri" w:eastAsia="Calibri" w:hAnsi="Calibri"/>
          <w:b/>
          <w:bCs/>
          <w:color w:val="2E5090"/>
          <w:sz w:val="26"/>
          <w:szCs w:val="26"/>
        </w:rPr>
        <w:t xml:space="preserve">Prompt body</w:t>
      </w:r>
    </w:p>
    <w:p>
      <w:pPr>
        <w:spacing w:after="60" w:before="60"/>
        <w:jc w:val="left"/>
      </w:pPr>
      <w:r>
        <w:rPr>
          <w:rFonts w:ascii="Consolas" w:cs="Consolas" w:eastAsia="Consolas" w:hAnsi="Consolas"/>
          <w:b w:val="false"/>
          <w:bCs w:val="false"/>
          <w:i w:val="false"/>
          <w:iCs w:val="false"/>
          <w:color w:val="000000"/>
          <w:sz w:val="18"/>
          <w:szCs w:val="18"/>
        </w:rPr>
        <w:t xml:space="preserve">Find every Cost Code that:</w:t>
      </w:r>
    </w:p>
    <w:p>
      <w:pPr>
        <w:spacing w:after="60" w:before="60"/>
        <w:jc w:val="left"/>
      </w:pPr>
      <w:r>
        <w:rPr>
          <w:rFonts w:ascii="Consolas" w:cs="Consolas" w:eastAsia="Consolas" w:hAnsi="Consolas"/>
          <w:b w:val="false"/>
          <w:bCs w:val="false"/>
          <w:i w:val="false"/>
          <w:iCs w:val="false"/>
          <w:color w:val="000000"/>
          <w:sz w:val="18"/>
          <w:szCs w:val="18"/>
        </w:rPr>
        <w:t xml:space="preserve">  (a) lists PRJ-005 in its Applicable Projects field, AND</w:t>
      </w:r>
    </w:p>
    <w:p>
      <w:pPr>
        <w:spacing w:after="60" w:before="60"/>
        <w:jc w:val="left"/>
      </w:pPr>
      <w:r>
        <w:rPr>
          <w:rFonts w:ascii="Consolas" w:cs="Consolas" w:eastAsia="Consolas" w:hAnsi="Consolas"/>
          <w:b w:val="false"/>
          <w:bCs w:val="false"/>
          <w:i w:val="false"/>
          <w:iCs w:val="false"/>
          <w:color w:val="000000"/>
          <w:sz w:val="18"/>
          <w:szCs w:val="18"/>
        </w:rPr>
        <w:t xml:space="preserve">  (b) is in Division 26 (Electrical) OR Division 23 (HVAC), AND</w:t>
      </w:r>
    </w:p>
    <w:p>
      <w:pPr>
        <w:spacing w:after="60" w:before="60"/>
        <w:jc w:val="left"/>
      </w:pPr>
      <w:r>
        <w:rPr>
          <w:rFonts w:ascii="Consolas" w:cs="Consolas" w:eastAsia="Consolas" w:hAnsi="Consolas"/>
          <w:b w:val="false"/>
          <w:bCs w:val="false"/>
          <w:i w:val="false"/>
          <w:iCs w:val="false"/>
          <w:color w:val="000000"/>
          <w:sz w:val="18"/>
          <w:szCs w:val="18"/>
        </w:rPr>
        <w:t xml:space="preserve">  (c) has a Cost Code Name that includes the word "Distribution" or "Service".</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Drop non-matching codes silently — do not list them and do not annotate them with a rejection mark.</w:t>
      </w:r>
    </w:p>
    <w:p>
      <w:r>
        <w:br w:type="page"/>
      </w:r>
    </w:p>
    <w:p>
      <w:pPr>
        <w:pStyle w:val="Heading1"/>
        <w:spacing w:after="140" w:before="280"/>
      </w:pPr>
      <w:r>
        <w:rPr>
          <w:rFonts w:ascii="Calibri" w:cs="Calibri" w:eastAsia="Calibri" w:hAnsi="Calibri"/>
          <w:b/>
          <w:bCs/>
          <w:color w:val="1F3864"/>
          <w:sz w:val="32"/>
          <w:szCs w:val="32"/>
        </w:rPr>
        <w:t xml:space="preserve">Benchmark 6 — Vendor Relationship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r>
              <w:rPr>
                <w:rFonts w:ascii="Calibri" w:cs="Calibri" w:eastAsia="Calibri" w:hAnsi="Calibri"/>
                <w:b/>
                <w:bCs/>
                <w:color w:val="000000"/>
                <w:sz w:val="18"/>
                <w:szCs w:val="18"/>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r>
              <w:rPr>
                <w:rFonts w:ascii="Calibri" w:cs="Calibri" w:eastAsia="Calibri" w:hAnsi="Calibri"/>
                <w:b/>
                <w:bCs/>
                <w:color w:val="000000"/>
                <w:sz w:val="18"/>
                <w:szCs w:val="18"/>
              </w:rPr>
              <w:t xml:space="preserve">Value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Best mode</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Recall</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What you'll learn</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3-hop traversal (vendor → projects → submittals); indirect-link discovery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Stresses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Multi-hop relational reasoning: vendor → AIA305 project records → submittals back to vendor. Indirect-link discovery.</w:t>
            </w:r>
          </w:p>
        </w:tc>
      </w:tr>
    </w:tbl>
    <w:p>
      <w:pPr>
        <w:pStyle w:val="Heading2"/>
        <w:spacing w:after="100" w:before="220"/>
      </w:pPr>
      <w:r>
        <w:rPr>
          <w:rFonts w:ascii="Calibri" w:cs="Calibri" w:eastAsia="Calibri" w:hAnsi="Calibri"/>
          <w:b/>
          <w:bCs/>
          <w:color w:val="2E5090"/>
          <w:sz w:val="26"/>
          <w:szCs w:val="26"/>
        </w:rPr>
        <w:t xml:space="preserve">Prompt body</w:t>
      </w:r>
    </w:p>
    <w:p>
      <w:pPr>
        <w:spacing w:after="60" w:before="60"/>
        <w:jc w:val="left"/>
      </w:pPr>
      <w:r>
        <w:rPr>
          <w:rFonts w:ascii="Consolas" w:cs="Consolas" w:eastAsia="Consolas" w:hAnsi="Consolas"/>
          <w:b w:val="false"/>
          <w:bCs w:val="false"/>
          <w:i w:val="false"/>
          <w:iCs w:val="false"/>
          <w:color w:val="000000"/>
          <w:sz w:val="18"/>
          <w:szCs w:val="18"/>
        </w:rPr>
        <w:t xml:space="preserve">For Vendor IronWorks Fabrication (VND-007):</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1. From acc_vendors.csv: pull the vendor's full profile.</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2. For each Project ID in Projects Assigned, find the AIA305 record and report Project name, Owner, Architect, ProjectValue, Status, ConstructionType, Market.</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3. For each project, list any Submittals from acc_submittals.csv where Submitted By = "IronWorks Fabrication".</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4. Total dollar exposure to this single vendor: sum the ProjectValue of every project in Projects Assigned.</w:t>
      </w:r>
    </w:p>
    <w:p>
      <w:r>
        <w:br w:type="page"/>
      </w:r>
    </w:p>
    <w:p>
      <w:pPr>
        <w:pStyle w:val="Heading1"/>
        <w:spacing w:after="140" w:before="280"/>
      </w:pPr>
      <w:r>
        <w:rPr>
          <w:rFonts w:ascii="Calibri" w:cs="Calibri" w:eastAsia="Calibri" w:hAnsi="Calibri"/>
          <w:b/>
          <w:bCs/>
          <w:color w:val="1F3864"/>
          <w:sz w:val="32"/>
          <w:szCs w:val="32"/>
        </w:rPr>
        <w:t xml:space="preserve">Benchmark 7 — Fuzzy Match Stress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r>
              <w:rPr>
                <w:rFonts w:ascii="Calibri" w:cs="Calibri" w:eastAsia="Calibri" w:hAnsi="Calibri"/>
                <w:b/>
                <w:bCs/>
                <w:color w:val="000000"/>
                <w:sz w:val="18"/>
                <w:szCs w:val="18"/>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r>
              <w:rPr>
                <w:rFonts w:ascii="Calibri" w:cs="Calibri" w:eastAsia="Calibri" w:hAnsi="Calibri"/>
                <w:b/>
                <w:bCs/>
                <w:color w:val="000000"/>
                <w:sz w:val="18"/>
                <w:szCs w:val="18"/>
              </w:rPr>
              <w:t xml:space="preserve">Value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Best mode</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Recall, post-mig-031</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What you'll learn</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Trigram similarity threshold tuning; typo / declension / case-shift tolerance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Stresses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Deliberate typos, declensions, case shifts in the prompt. Pre-mig-031 returns near-zero HSL hits; post-mig-031 trigram similarity should resolve.</w:t>
            </w:r>
          </w:p>
        </w:tc>
      </w:tr>
    </w:tbl>
    <w:p>
      <w:pPr>
        <w:pStyle w:val="Heading2"/>
        <w:spacing w:after="100" w:before="220"/>
      </w:pPr>
      <w:r>
        <w:rPr>
          <w:rFonts w:ascii="Calibri" w:cs="Calibri" w:eastAsia="Calibri" w:hAnsi="Calibri"/>
          <w:b/>
          <w:bCs/>
          <w:color w:val="2E5090"/>
          <w:sz w:val="26"/>
          <w:szCs w:val="26"/>
        </w:rPr>
        <w:t xml:space="preserve">Prompt body</w:t>
      </w:r>
    </w:p>
    <w:p>
      <w:pPr>
        <w:spacing w:after="60" w:before="60"/>
        <w:jc w:val="left"/>
      </w:pPr>
      <w:r>
        <w:rPr>
          <w:rFonts w:ascii="Consolas" w:cs="Consolas" w:eastAsia="Consolas" w:hAnsi="Consolas"/>
          <w:b w:val="false"/>
          <w:bCs w:val="false"/>
          <w:i w:val="false"/>
          <w:iCs w:val="false"/>
          <w:color w:val="000000"/>
          <w:sz w:val="18"/>
          <w:szCs w:val="18"/>
        </w:rPr>
        <w:t xml:space="preserve">Find everything in the system about Sara Mitchel (deliberate partial spelling — match the closest real person). Then also find:</w:t>
      </w:r>
    </w:p>
    <w:p>
      <w:pPr>
        <w:spacing w:after="60" w:before="60"/>
        <w:jc w:val="left"/>
      </w:pPr>
      <w:r>
        <w:rPr>
          <w:rFonts w:ascii="Consolas" w:cs="Consolas" w:eastAsia="Consolas" w:hAnsi="Consolas"/>
          <w:b w:val="false"/>
          <w:bCs w:val="false"/>
          <w:i w:val="false"/>
          <w:iCs w:val="false"/>
          <w:color w:val="000000"/>
          <w:sz w:val="18"/>
          <w:szCs w:val="18"/>
        </w:rPr>
        <w:t xml:space="preserve">  - Every project where the Architech is "Perkins Will" or similar.</w:t>
      </w:r>
    </w:p>
    <w:p>
      <w:pPr>
        <w:spacing w:after="60" w:before="60"/>
        <w:jc w:val="left"/>
      </w:pPr>
      <w:r>
        <w:rPr>
          <w:rFonts w:ascii="Consolas" w:cs="Consolas" w:eastAsia="Consolas" w:hAnsi="Consolas"/>
          <w:b w:val="false"/>
          <w:bCs w:val="false"/>
          <w:i w:val="false"/>
          <w:iCs w:val="false"/>
          <w:color w:val="000000"/>
          <w:sz w:val="18"/>
          <w:szCs w:val="18"/>
        </w:rPr>
        <w:t xml:space="preserve">  - Every project in Texis or Tex (typos for Texas).</w:t>
      </w:r>
    </w:p>
    <w:p>
      <w:pPr>
        <w:spacing w:after="60" w:before="60"/>
        <w:jc w:val="left"/>
      </w:pPr>
      <w:r>
        <w:rPr>
          <w:rFonts w:ascii="Consolas" w:cs="Consolas" w:eastAsia="Consolas" w:hAnsi="Consolas"/>
          <w:b w:val="false"/>
          <w:bCs w:val="false"/>
          <w:i w:val="false"/>
          <w:iCs w:val="false"/>
          <w:color w:val="000000"/>
          <w:sz w:val="18"/>
          <w:szCs w:val="18"/>
        </w:rPr>
        <w:t xml:space="preserve">  - Every cost code whose Division Name contains "Electric".</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For each match, cite the exact stored value alongside the typo'd cue.</w:t>
      </w:r>
    </w:p>
    <w:p>
      <w:r>
        <w:br w:type="page"/>
      </w:r>
    </w:p>
    <w:p>
      <w:pPr>
        <w:pStyle w:val="Heading1"/>
        <w:spacing w:after="140" w:before="280"/>
      </w:pPr>
      <w:r>
        <w:rPr>
          <w:rFonts w:ascii="Calibri" w:cs="Calibri" w:eastAsia="Calibri" w:hAnsi="Calibri"/>
          <w:b/>
          <w:bCs/>
          <w:color w:val="1F3864"/>
          <w:sz w:val="32"/>
          <w:szCs w:val="32"/>
        </w:rPr>
        <w:t xml:space="preserve">Benchmark 8 — Time-Bounded Portfolio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r>
              <w:rPr>
                <w:rFonts w:ascii="Calibri" w:cs="Calibri" w:eastAsia="Calibri" w:hAnsi="Calibri"/>
                <w:b/>
                <w:bCs/>
                <w:color w:val="000000"/>
                <w:sz w:val="18"/>
                <w:szCs w:val="18"/>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r>
              <w:rPr>
                <w:rFonts w:ascii="Calibri" w:cs="Calibri" w:eastAsia="Calibri" w:hAnsi="Calibri"/>
                <w:b/>
                <w:bCs/>
                <w:color w:val="000000"/>
                <w:sz w:val="18"/>
                <w:szCs w:val="18"/>
              </w:rPr>
              <w:t xml:space="preserve">Value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Best mode</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Broad (heavy aggregation)</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What you'll learn</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Token cost vs. answer completeness on full-portfolio queries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Stresses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Heavy AIA305 query with date filter + numeric ranking + top/bottom-N + percentage computation. Good Broad-mode cost test.</w:t>
            </w:r>
          </w:p>
        </w:tc>
      </w:tr>
    </w:tbl>
    <w:p>
      <w:pPr>
        <w:pStyle w:val="Heading2"/>
        <w:spacing w:after="100" w:before="220"/>
      </w:pPr>
      <w:r>
        <w:rPr>
          <w:rFonts w:ascii="Calibri" w:cs="Calibri" w:eastAsia="Calibri" w:hAnsi="Calibri"/>
          <w:b/>
          <w:bCs/>
          <w:color w:val="2E5090"/>
          <w:sz w:val="26"/>
          <w:szCs w:val="26"/>
        </w:rPr>
        <w:t xml:space="preserve">Prompt body</w:t>
      </w:r>
    </w:p>
    <w:p>
      <w:pPr>
        <w:spacing w:after="60" w:before="60"/>
        <w:jc w:val="left"/>
      </w:pPr>
      <w:r>
        <w:rPr>
          <w:rFonts w:ascii="Consolas" w:cs="Consolas" w:eastAsia="Consolas" w:hAnsi="Consolas"/>
          <w:b w:val="false"/>
          <w:bCs w:val="false"/>
          <w:i w:val="false"/>
          <w:iCs w:val="false"/>
          <w:color w:val="000000"/>
          <w:sz w:val="18"/>
          <w:szCs w:val="18"/>
        </w:rPr>
        <w:t xml:space="preserve">From AIA305 Sample.csv, build a portfolio dashboard for projects with StartDate between 2024-01-01 and 2024-12-31:</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1. Total project count and total ProjectValue.</w:t>
      </w:r>
    </w:p>
    <w:p>
      <w:pPr>
        <w:spacing w:after="60" w:before="60"/>
        <w:jc w:val="left"/>
      </w:pPr>
      <w:r>
        <w:rPr>
          <w:rFonts w:ascii="Consolas" w:cs="Consolas" w:eastAsia="Consolas" w:hAnsi="Consolas"/>
          <w:b w:val="false"/>
          <w:bCs w:val="false"/>
          <w:i w:val="false"/>
          <w:iCs w:val="false"/>
          <w:color w:val="000000"/>
          <w:sz w:val="18"/>
          <w:szCs w:val="18"/>
        </w:rPr>
        <w:t xml:space="preserve">2. Top 5 projects by ProjectValue.</w:t>
      </w:r>
    </w:p>
    <w:p>
      <w:pPr>
        <w:spacing w:after="60" w:before="60"/>
        <w:jc w:val="left"/>
      </w:pPr>
      <w:r>
        <w:rPr>
          <w:rFonts w:ascii="Consolas" w:cs="Consolas" w:eastAsia="Consolas" w:hAnsi="Consolas"/>
          <w:b w:val="false"/>
          <w:bCs w:val="false"/>
          <w:i w:val="false"/>
          <w:iCs w:val="false"/>
          <w:color w:val="000000"/>
          <w:sz w:val="18"/>
          <w:szCs w:val="18"/>
        </w:rPr>
        <w:t xml:space="preserve">3. Bottom 5 projects by % Performed_by_LSP among the top-10-by-ProjectValue.</w:t>
      </w:r>
    </w:p>
    <w:p>
      <w:pPr>
        <w:spacing w:after="60" w:before="60"/>
        <w:jc w:val="left"/>
      </w:pPr>
      <w:r>
        <w:rPr>
          <w:rFonts w:ascii="Consolas" w:cs="Consolas" w:eastAsia="Consolas" w:hAnsi="Consolas"/>
          <w:b w:val="false"/>
          <w:bCs w:val="false"/>
          <w:i w:val="false"/>
          <w:iCs w:val="false"/>
          <w:color w:val="000000"/>
          <w:sz w:val="18"/>
          <w:szCs w:val="18"/>
        </w:rPr>
        <w:t xml:space="preserve">4. Status mix.</w:t>
      </w:r>
    </w:p>
    <w:p>
      <w:pPr>
        <w:spacing w:after="60" w:before="60"/>
        <w:jc w:val="left"/>
      </w:pPr>
      <w:r>
        <w:rPr>
          <w:rFonts w:ascii="Consolas" w:cs="Consolas" w:eastAsia="Consolas" w:hAnsi="Consolas"/>
          <w:b w:val="false"/>
          <w:bCs w:val="false"/>
          <w:i w:val="false"/>
          <w:iCs w:val="false"/>
          <w:color w:val="000000"/>
          <w:sz w:val="18"/>
          <w:szCs w:val="18"/>
        </w:rPr>
        <w:t xml:space="preserve">5. Geographic distribution (top 5 states).</w:t>
      </w:r>
    </w:p>
    <w:p>
      <w:pPr>
        <w:spacing w:after="60" w:before="60"/>
        <w:jc w:val="left"/>
      </w:pPr>
      <w:r>
        <w:rPr>
          <w:rFonts w:ascii="Consolas" w:cs="Consolas" w:eastAsia="Consolas" w:hAnsi="Consolas"/>
          <w:b w:val="false"/>
          <w:bCs w:val="false"/>
          <w:i w:val="false"/>
          <w:iCs w:val="false"/>
          <w:color w:val="000000"/>
          <w:sz w:val="18"/>
          <w:szCs w:val="18"/>
        </w:rPr>
        <w:t xml:space="preserve">6. Construction-type mix.</w:t>
      </w:r>
    </w:p>
    <w:p>
      <w:r>
        <w:br w:type="page"/>
      </w:r>
    </w:p>
    <w:p>
      <w:pPr>
        <w:pStyle w:val="Heading1"/>
        <w:spacing w:after="140" w:before="280"/>
      </w:pPr>
      <w:r>
        <w:rPr>
          <w:rFonts w:ascii="Calibri" w:cs="Calibri" w:eastAsia="Calibri" w:hAnsi="Calibri"/>
          <w:b/>
          <w:bCs/>
          <w:color w:val="1F3864"/>
          <w:sz w:val="32"/>
          <w:szCs w:val="32"/>
        </w:rPr>
        <w:t xml:space="preserve">Benchmark 9 — Data-Quality Audit (Gap Detection)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r>
              <w:rPr>
                <w:rFonts w:ascii="Calibri" w:cs="Calibri" w:eastAsia="Calibri" w:hAnsi="Calibri"/>
                <w:b/>
                <w:bCs/>
                <w:color w:val="000000"/>
                <w:sz w:val="18"/>
                <w:szCs w:val="18"/>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r>
              <w:rPr>
                <w:rFonts w:ascii="Calibri" w:cs="Calibri" w:eastAsia="Calibri" w:hAnsi="Calibri"/>
                <w:b/>
                <w:bCs/>
                <w:color w:val="000000"/>
                <w:sz w:val="18"/>
                <w:szCs w:val="18"/>
              </w:rPr>
              <w:t xml:space="preserve">Value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Best mode</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Live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What you'll learn</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Absence detection; gap-reporting honesty (no fabrication)</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Stresses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Anti-pattern queries — finding what's NOT there. Tests whether retrieval can return absence answers honestly.</w:t>
            </w:r>
          </w:p>
        </w:tc>
      </w:tr>
    </w:tbl>
    <w:p>
      <w:pPr>
        <w:pStyle w:val="Heading2"/>
        <w:spacing w:after="100" w:before="220"/>
      </w:pPr>
      <w:r>
        <w:rPr>
          <w:rFonts w:ascii="Calibri" w:cs="Calibri" w:eastAsia="Calibri" w:hAnsi="Calibri"/>
          <w:b/>
          <w:bCs/>
          <w:color w:val="2E5090"/>
          <w:sz w:val="26"/>
          <w:szCs w:val="26"/>
        </w:rPr>
        <w:t xml:space="preserve">Prompt body</w:t>
      </w:r>
    </w:p>
    <w:p>
      <w:pPr>
        <w:spacing w:after="60" w:before="60"/>
        <w:jc w:val="left"/>
      </w:pPr>
      <w:r>
        <w:rPr>
          <w:rFonts w:ascii="Consolas" w:cs="Consolas" w:eastAsia="Consolas" w:hAnsi="Consolas"/>
          <w:b w:val="false"/>
          <w:bCs w:val="false"/>
          <w:i w:val="false"/>
          <w:iCs w:val="false"/>
          <w:color w:val="000000"/>
          <w:sz w:val="18"/>
          <w:szCs w:val="18"/>
        </w:rPr>
        <w:t xml:space="preserve">Audit data quality across the corpus:</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1. acc_projects.csv records where Project Manager is empty.</w:t>
      </w:r>
    </w:p>
    <w:p>
      <w:pPr>
        <w:spacing w:after="60" w:before="60"/>
        <w:jc w:val="left"/>
      </w:pPr>
      <w:r>
        <w:rPr>
          <w:rFonts w:ascii="Consolas" w:cs="Consolas" w:eastAsia="Consolas" w:hAnsi="Consolas"/>
          <w:b w:val="false"/>
          <w:bCs w:val="false"/>
          <w:i w:val="false"/>
          <w:iCs w:val="false"/>
          <w:color w:val="000000"/>
          <w:sz w:val="18"/>
          <w:szCs w:val="18"/>
        </w:rPr>
        <w:t xml:space="preserve">2. acc_vendors.csv records where Insurance Expiry is past or missing.</w:t>
      </w:r>
    </w:p>
    <w:p>
      <w:pPr>
        <w:spacing w:after="60" w:before="60"/>
        <w:jc w:val="left"/>
      </w:pPr>
      <w:r>
        <w:rPr>
          <w:rFonts w:ascii="Consolas" w:cs="Consolas" w:eastAsia="Consolas" w:hAnsi="Consolas"/>
          <w:b w:val="false"/>
          <w:bCs w:val="false"/>
          <w:i w:val="false"/>
          <w:iCs w:val="false"/>
          <w:color w:val="000000"/>
          <w:sz w:val="18"/>
          <w:szCs w:val="18"/>
        </w:rPr>
        <w:t xml:space="preserve">3. AIA305 Sample.csv: count projects where Architect is empty (group by Status).</w:t>
      </w:r>
    </w:p>
    <w:p>
      <w:pPr>
        <w:spacing w:after="60" w:before="60"/>
        <w:jc w:val="left"/>
      </w:pPr>
      <w:r>
        <w:rPr>
          <w:rFonts w:ascii="Consolas" w:cs="Consolas" w:eastAsia="Consolas" w:hAnsi="Consolas"/>
          <w:b w:val="false"/>
          <w:bCs w:val="false"/>
          <w:i w:val="false"/>
          <w:iCs w:val="false"/>
          <w:color w:val="000000"/>
          <w:sz w:val="18"/>
          <w:szCs w:val="18"/>
        </w:rPr>
        <w:t xml:space="preserve">4. acc_employees.csv records where Projects Assigned is empty.</w:t>
      </w:r>
    </w:p>
    <w:p>
      <w:pPr>
        <w:spacing w:after="60" w:before="60"/>
        <w:jc w:val="left"/>
      </w:pPr>
      <w:r>
        <w:rPr>
          <w:rFonts w:ascii="Consolas" w:cs="Consolas" w:eastAsia="Consolas" w:hAnsi="Consolas"/>
          <w:b w:val="false"/>
          <w:bCs w:val="false"/>
          <w:i w:val="false"/>
          <w:iCs w:val="false"/>
          <w:color w:val="000000"/>
          <w:sz w:val="18"/>
          <w:szCs w:val="18"/>
        </w:rPr>
        <w:t xml:space="preserve">5. Cross-reference: Project IDs in acc_cost_codes Applicable Projects that don't appear in either acc_projects.csv or AIA305 Sample.csv (orphans).</w:t>
      </w:r>
    </w:p>
    <w:p>
      <w:r>
        <w:br w:type="page"/>
      </w:r>
    </w:p>
    <w:p>
      <w:pPr>
        <w:pStyle w:val="Heading1"/>
        <w:spacing w:after="140" w:before="280"/>
      </w:pPr>
      <w:r>
        <w:rPr>
          <w:rFonts w:ascii="Calibri" w:cs="Calibri" w:eastAsia="Calibri" w:hAnsi="Calibri"/>
          <w:b/>
          <w:bCs/>
          <w:color w:val="1F3864"/>
          <w:sz w:val="32"/>
          <w:szCs w:val="32"/>
        </w:rPr>
        <w:t xml:space="preserve">Benchmark 10 — Workflow Trace (PRJ-004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r>
              <w:rPr>
                <w:rFonts w:ascii="Calibri" w:cs="Calibri" w:eastAsia="Calibri" w:hAnsi="Calibri"/>
                <w:b/>
                <w:bCs/>
                <w:color w:val="000000"/>
                <w:sz w:val="18"/>
                <w:szCs w:val="18"/>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r>
              <w:rPr>
                <w:rFonts w:ascii="Calibri" w:cs="Calibri" w:eastAsia="Calibri" w:hAnsi="Calibri"/>
                <w:b/>
                <w:bCs/>
                <w:color w:val="000000"/>
                <w:sz w:val="18"/>
                <w:szCs w:val="18"/>
              </w:rPr>
              <w:t xml:space="preserve">Value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Best mode</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Recall</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What you'll learn</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Multi-record narrative reasoning; cross-record Title overlap</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Stresses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Multi-record reasoning, related-records discovery via Title overlap, status state-machine, blocking-relationship detection.</w:t>
            </w:r>
          </w:p>
        </w:tc>
      </w:tr>
    </w:tbl>
    <w:p>
      <w:pPr>
        <w:pStyle w:val="Heading2"/>
        <w:spacing w:after="100" w:before="220"/>
      </w:pPr>
      <w:r>
        <w:rPr>
          <w:rFonts w:ascii="Calibri" w:cs="Calibri" w:eastAsia="Calibri" w:hAnsi="Calibri"/>
          <w:b/>
          <w:bCs/>
          <w:color w:val="2E5090"/>
          <w:sz w:val="26"/>
          <w:szCs w:val="26"/>
        </w:rPr>
        <w:t xml:space="preserve">Prompt body</w:t>
      </w:r>
    </w:p>
    <w:p>
      <w:pPr>
        <w:spacing w:after="60" w:before="60"/>
        <w:jc w:val="left"/>
      </w:pPr>
      <w:r>
        <w:rPr>
          <w:rFonts w:ascii="Consolas" w:cs="Consolas" w:eastAsia="Consolas" w:hAnsi="Consolas"/>
          <w:b w:val="false"/>
          <w:bCs w:val="false"/>
          <w:i w:val="false"/>
          <w:iCs w:val="false"/>
          <w:color w:val="000000"/>
          <w:sz w:val="18"/>
          <w:szCs w:val="18"/>
        </w:rPr>
        <w:t xml:space="preserve">Trace the dependency chain for Project PRJ-004 (Lakeview Elementary School):</w:t>
      </w:r>
    </w:p>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60"/>
        <w:jc w:val="left"/>
      </w:pPr>
      <w:r>
        <w:rPr>
          <w:rFonts w:ascii="Consolas" w:cs="Consolas" w:eastAsia="Consolas" w:hAnsi="Consolas"/>
          <w:b w:val="false"/>
          <w:bCs w:val="false"/>
          <w:i w:val="false"/>
          <w:iCs w:val="false"/>
          <w:color w:val="000000"/>
          <w:sz w:val="18"/>
          <w:szCs w:val="18"/>
        </w:rPr>
        <w:t xml:space="preserve">1. Every RFI for PRJ-004.</w:t>
      </w:r>
    </w:p>
    <w:p>
      <w:pPr>
        <w:spacing w:after="60" w:before="60"/>
        <w:jc w:val="left"/>
      </w:pPr>
      <w:r>
        <w:rPr>
          <w:rFonts w:ascii="Consolas" w:cs="Consolas" w:eastAsia="Consolas" w:hAnsi="Consolas"/>
          <w:b w:val="false"/>
          <w:bCs w:val="false"/>
          <w:i w:val="false"/>
          <w:iCs w:val="false"/>
          <w:color w:val="000000"/>
          <w:sz w:val="18"/>
          <w:szCs w:val="18"/>
        </w:rPr>
        <w:t xml:space="preserve">2. Every Submittal for PRJ-004.</w:t>
      </w:r>
    </w:p>
    <w:p>
      <w:pPr>
        <w:spacing w:after="60" w:before="60"/>
        <w:jc w:val="left"/>
      </w:pPr>
      <w:r>
        <w:rPr>
          <w:rFonts w:ascii="Consolas" w:cs="Consolas" w:eastAsia="Consolas" w:hAnsi="Consolas"/>
          <w:b w:val="false"/>
          <w:bCs w:val="false"/>
          <w:i w:val="false"/>
          <w:iCs w:val="false"/>
          <w:color w:val="000000"/>
          <w:sz w:val="18"/>
          <w:szCs w:val="18"/>
        </w:rPr>
        <w:t xml:space="preserve">3. Cross-reference: which Submittals' Notes references a specific RFI ID? Identifies submittals blocked on RFIs.</w:t>
      </w:r>
    </w:p>
    <w:p>
      <w:pPr>
        <w:spacing w:after="60" w:before="60"/>
        <w:jc w:val="left"/>
      </w:pPr>
      <w:r>
        <w:rPr>
          <w:rFonts w:ascii="Consolas" w:cs="Consolas" w:eastAsia="Consolas" w:hAnsi="Consolas"/>
          <w:b w:val="false"/>
          <w:bCs w:val="false"/>
          <w:i w:val="false"/>
          <w:iCs w:val="false"/>
          <w:color w:val="000000"/>
          <w:sz w:val="18"/>
          <w:szCs w:val="18"/>
        </w:rPr>
        <w:t xml:space="preserve">4. Every Issue for PRJ-004.</w:t>
      </w:r>
    </w:p>
    <w:p>
      <w:pPr>
        <w:spacing w:after="60" w:before="60"/>
        <w:jc w:val="left"/>
      </w:pPr>
      <w:r>
        <w:rPr>
          <w:rFonts w:ascii="Consolas" w:cs="Consolas" w:eastAsia="Consolas" w:hAnsi="Consolas"/>
          <w:b w:val="false"/>
          <w:bCs w:val="false"/>
          <w:i w:val="false"/>
          <w:iCs w:val="false"/>
          <w:color w:val="000000"/>
          <w:sz w:val="18"/>
          <w:szCs w:val="18"/>
        </w:rPr>
        <w:t xml:space="preserve">5. Construct a brief narrative timeline.</w:t>
      </w:r>
    </w:p>
    <w:p>
      <w:r>
        <w:br w:type="page"/>
      </w:r>
    </w:p>
    <w:p>
      <w:pPr>
        <w:pStyle w:val="Heading1"/>
        <w:spacing w:after="140" w:before="280"/>
      </w:pPr>
      <w:r>
        <w:rPr>
          <w:rFonts w:ascii="Calibri" w:cs="Calibri" w:eastAsia="Calibri" w:hAnsi="Calibri"/>
          <w:b/>
          <w:bCs/>
          <w:color w:val="1F3864"/>
          <w:sz w:val="32"/>
          <w:szCs w:val="32"/>
        </w:rPr>
        <w:t xml:space="preserve">Reading the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r>
              <w:rPr>
                <w:rFonts w:ascii="Calibri" w:cs="Calibri" w:eastAsia="Calibri" w:hAnsi="Calibri"/>
                <w:b/>
                <w:bCs/>
                <w:color w:val="000000"/>
                <w:sz w:val="18"/>
                <w:szCs w:val="18"/>
              </w:rPr>
              <w:t xml:space="preserve">Signal</w:t>
            </w:r>
          </w:p>
        </w:tc>
        <w:tc>
          <w:tcPr>
            <w:tcW w:type="dxa" w:w="696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r>
              <w:rPr>
                <w:rFonts w:ascii="Calibri" w:cs="Calibri" w:eastAsia="Calibri" w:hAnsi="Calibri"/>
                <w:b/>
                <w:bCs/>
                <w:color w:val="000000"/>
                <w:sz w:val="18"/>
                <w:szCs w:val="18"/>
              </w:rPr>
              <w:t xml:space="preserve">What it means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Side-by-side metrics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Lower token counts at equal answer quality ⇒ retrieval is doing more of the work</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Citation density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Recall and Live should cite exact AIO row names. Broad cites often. Raw fabricates citations or skips them — treat as a tell</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Filter compliance</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Benchmarks 1, 3, 5, 8, 9 have strict 'drop, don't annotate' instructions. Replies that list non-matching items with rejection marks failed the rule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Absence honesty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Benchmark 9 specifically tests whether the model says 'no records' on an empty bucket vs. fabricating an entry</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000000"/>
                <w:sz w:val="18"/>
                <w:szCs w:val="18"/>
              </w:rPr>
              <w:t xml:space="preserve">MRO short-circuit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After running once, subsequent runs of the same prompt usually short-circuit at score ≥ 0.85, returning the prior with zero LLM cost. Use MRO_BYPASS=1 to force fresh</w:t>
            </w:r>
          </w:p>
        </w:tc>
      </w:tr>
    </w:tbl>
    <w:p>
      <w:pPr>
        <w:spacing w:after="60" w:before="60"/>
        <w:jc w:val="left"/>
      </w:pPr>
      <w:r>
        <w:rPr>
          <w:rFonts w:ascii="Calibri" w:cs="Calibri" w:eastAsia="Calibri" w:hAnsi="Calibri"/>
          <w:b w:val="false"/>
          <w:bCs w:val="false"/>
          <w:i w:val="false"/>
          <w:iCs w:val="false"/>
          <w:color w:val="000000"/>
          <w:sz w:val="20"/>
          <w:szCs w:val="20"/>
        </w:rPr>
        <w:t xml:space="preserve"/>
      </w:r>
    </w:p>
    <w:p>
      <w:pPr>
        <w:spacing w:after="60" w:before="320"/>
        <w:jc w:val="center"/>
      </w:pPr>
      <w:r>
        <w:rPr>
          <w:rFonts w:ascii="Calibri" w:cs="Calibri" w:eastAsia="Calibri" w:hAnsi="Calibri"/>
          <w:b w:val="false"/>
          <w:bCs w:val="false"/>
          <w:i/>
          <w:iCs/>
          <w:color w:val="2E5090"/>
          <w:sz w:val="20"/>
          <w:szCs w:val="20"/>
        </w:rPr>
        <w:t xml:space="preserve">End of document.</w:t>
      </w:r>
    </w:p>
    <w:p>
      <w:pPr>
        <w:spacing w:after="60" w:before="60"/>
        <w:jc w:val="center"/>
      </w:pPr>
      <w:r>
        <w:rPr>
          <w:rFonts w:ascii="Calibri" w:cs="Calibri" w:eastAsia="Calibri" w:hAnsi="Calibri"/>
          <w:b w:val="false"/>
          <w:bCs w:val="false"/>
          <w:i/>
          <w:iCs/>
          <w:color w:val="808080"/>
          <w:sz w:val="16"/>
          <w:szCs w:val="16"/>
        </w:rPr>
        <w:t xml:space="preserve">Generated 2026-04-29T16:42:01.947Z · Information Physics V4.5</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20"/>
      <w:outlineLvl w:val="1"/>
    </w:pPr>
    <w:rPr>
      <w:rFonts w:ascii="Calibri" w:cs="Calibri" w:eastAsia="Calibri" w:hAnsi="Calibri"/>
      <w:b/>
      <w:bCs/>
      <w:color w:val="2E5090"/>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2E509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2026-04-29T16:42:01.947Z</dcterms:created>
  <dcterms:modified xsi:type="dcterms:W3CDTF">2026-04-29T16:42:01.947Z</dcterms:modified>
</cp:coreProperties>
</file>

<file path=docProps/custom.xml><?xml version="1.0" encoding="utf-8"?>
<Properties xmlns="http://schemas.openxmlformats.org/officeDocument/2006/custom-properties" xmlns:vt="http://schemas.openxmlformats.org/officeDocument/2006/docPropsVTypes"/>
</file>