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60"/>
        <w:jc w:val="center"/>
      </w:pPr>
      <w:r>
        <w:rPr>
          <w:rFonts w:ascii="Calibri" w:cs="Calibri" w:eastAsia="Calibri" w:hAnsi="Calibri"/>
          <w:b/>
          <w:bCs/>
          <w:i w:val="false"/>
          <w:iCs w:val="false"/>
          <w:color w:val="2E5090"/>
          <w:sz w:val="20"/>
          <w:szCs w:val="20"/>
        </w:rPr>
        <w:t xml:space="preserve">CONFIDENTIAL — Trade Secret Reference</w:t>
      </w:r>
    </w:p>
    <w:p>
      <w:pPr>
        <w:spacing w:after="60" w:before="60"/>
        <w:jc w:val="center"/>
      </w:pPr>
      <w:r>
        <w:rPr>
          <w:rFonts w:ascii="Calibri" w:cs="Calibri" w:eastAsia="Calibri" w:hAnsi="Calibri"/>
          <w:b/>
          <w:bCs/>
          <w:i w:val="false"/>
          <w:iCs w:val="false"/>
          <w:color w:val="1F3864"/>
          <w:sz w:val="36"/>
          <w:szCs w:val="36"/>
        </w:rPr>
        <w:t xml:space="preserve">Information Physics — ChatAIO</w:t>
      </w:r>
    </w:p>
    <w:p>
      <w:pPr>
        <w:spacing w:after="60" w:before="60"/>
        <w:jc w:val="center"/>
      </w:pPr>
      <w:r>
        <w:rPr>
          <w:rFonts w:ascii="Calibri" w:cs="Calibri" w:eastAsia="Calibri" w:hAnsi="Calibri"/>
          <w:b/>
          <w:bCs/>
          <w:i w:val="false"/>
          <w:iCs w:val="false"/>
          <w:color w:val="1F3864"/>
          <w:sz w:val="32"/>
          <w:szCs w:val="32"/>
        </w:rPr>
        <w:t xml:space="preserve">Substrate Trim — Diversity &amp; Dedup</w:t>
      </w:r>
    </w:p>
    <w:p>
      <w:pPr>
        <w:spacing w:after="220" w:before="60"/>
        <w:jc w:val="center"/>
      </w:pPr>
      <w:r>
        <w:rPr>
          <w:rFonts w:ascii="Calibri" w:cs="Calibri" w:eastAsia="Calibri" w:hAnsi="Calibri"/>
          <w:b w:val="false"/>
          <w:bCs w:val="false"/>
          <w:i/>
          <w:iCs/>
          <w:color w:val="2E5090"/>
          <w:sz w:val="22"/>
          <w:szCs w:val="22"/>
        </w:rPr>
        <w:t xml:space="preserve">Cap-by-CSV diversity and element-set Jaccard dedup at substrate-build time</w:t>
      </w:r>
    </w:p>
    <w:p>
      <w:pPr>
        <w:spacing w:after="60" w:before="60"/>
        <w:jc w:val="center"/>
      </w:pPr>
      <w:r>
        <w:rPr>
          <w:rFonts w:ascii="Calibri" w:cs="Calibri" w:eastAsia="Calibri" w:hAnsi="Calibri"/>
          <w:b w:val="false"/>
          <w:bCs w:val="false"/>
          <w:i/>
          <w:iCs/>
          <w:color w:val="2E5090"/>
          <w:sz w:val="20"/>
          <w:szCs w:val="20"/>
        </w:rPr>
        <w:t xml:space="preserve">V4.5 · April 2026</w:t>
      </w:r>
    </w:p>
    <w:p>
      <w:pPr>
        <w:spacing w:after="320" w:before="60"/>
        <w:jc w:val="center"/>
      </w:pPr>
      <w:r>
        <w:rPr>
          <w:rFonts w:ascii="Calibri" w:cs="Calibri" w:eastAsia="Calibri" w:hAnsi="Calibri"/>
          <w:b w:val="false"/>
          <w:bCs w:val="false"/>
          <w:i/>
          <w:iCs/>
          <w:color w:val="606060"/>
          <w:sz w:val="18"/>
          <w:szCs w:val="18"/>
        </w:rPr>
        <w:t xml:space="preserve">Subject to NDA on file. Not for redistribution.</w:t>
      </w:r>
    </w:p>
    <w:p>
      <w:r>
        <w:br w:type="page"/>
      </w:r>
    </w:p>
    <w:p>
      <w:pPr>
        <w:pStyle w:val="Heading1"/>
        <w:spacing w:after="140" w:before="280"/>
      </w:pPr>
      <w:r>
        <w:rPr>
          <w:rFonts w:ascii="Calibri" w:cs="Calibri" w:eastAsia="Calibri" w:hAnsi="Calibri"/>
          <w:b/>
          <w:bCs/>
          <w:color w:val="1F3864"/>
          <w:sz w:val="32"/>
          <w:szCs w:val="32"/>
        </w:rPr>
        <w:t xml:space="preserve">1. Scope</w:t>
      </w:r>
    </w:p>
    <w:p>
      <w:pPr>
        <w:spacing w:after="60" w:before="60"/>
        <w:jc w:val="left"/>
      </w:pPr>
      <w:r>
        <w:rPr>
          <w:rFonts w:ascii="Calibri" w:cs="Calibri" w:eastAsia="Calibri" w:hAnsi="Calibri"/>
          <w:b w:val="false"/>
          <w:bCs w:val="false"/>
          <w:i w:val="false"/>
          <w:iCs w:val="false"/>
          <w:color w:val="000000"/>
          <w:sz w:val="20"/>
          <w:szCs w:val="20"/>
        </w:rPr>
        <w:t xml:space="preserve">Authoritative description of the two trim steps that sit between AIO ranking and substrate assembly. Both were added in V4.5 to fix retrieval-quality bugs that the in-app Benchmark UI made visible. This document declares the algorithms, the failure modes they resolved, the threshold defaults, and the diagnostic hooks that let an operator audit per-query behavior.</w:t>
      </w:r>
    </w:p>
    <w:p>
      <w:pPr>
        <w:pStyle w:val="Heading1"/>
        <w:spacing w:after="140" w:before="280"/>
      </w:pPr>
      <w:r>
        <w:rPr>
          <w:rFonts w:ascii="Calibri" w:cs="Calibri" w:eastAsia="Calibri" w:hAnsi="Calibri"/>
          <w:b/>
          <w:bCs/>
          <w:color w:val="1F3864"/>
          <w:sz w:val="32"/>
          <w:szCs w:val="32"/>
        </w:rPr>
        <w:t xml:space="preserve">2. The Failure Mode (Why Both Exist)</w:t>
      </w:r>
    </w:p>
    <w:p>
      <w:pPr>
        <w:spacing w:after="60" w:before="60"/>
        <w:jc w:val="left"/>
      </w:pPr>
      <w:r>
        <w:rPr>
          <w:rFonts w:ascii="Calibri" w:cs="Calibri" w:eastAsia="Calibri" w:hAnsi="Calibri"/>
          <w:b w:val="false"/>
          <w:bCs w:val="false"/>
          <w:i w:val="false"/>
          <w:iCs w:val="false"/>
          <w:color w:val="000000"/>
          <w:sz w:val="20"/>
          <w:szCs w:val="20"/>
        </w:rPr>
        <w:t xml:space="preserve">Multi-CSV join queries (Benchmark 1 — PRJ-003 across 5 operational CSVs) returned only AIA305 records and cost codes. Operational CSVs were absent from the substrate even when their HSLs lit up correctly. Two distinct mechanisms were in play:</w:t>
      </w:r>
    </w:p>
    <w:p>
      <w:pPr>
        <w:pStyle w:val="Heading2"/>
        <w:spacing w:after="100" w:before="220"/>
      </w:pPr>
      <w:r>
        <w:rPr>
          <w:rFonts w:ascii="Calibri" w:cs="Calibri" w:eastAsia="Calibri" w:hAnsi="Calibri"/>
          <w:b/>
          <w:bCs/>
          <w:color w:val="2E5090"/>
          <w:sz w:val="26"/>
          <w:szCs w:val="26"/>
        </w:rPr>
        <w:t xml:space="preserve">2.1 Numerical dominance</w:t>
      </w:r>
    </w:p>
    <w:p>
      <w:pPr>
        <w:spacing w:after="60" w:before="60"/>
        <w:jc w:val="left"/>
      </w:pPr>
      <w:r>
        <w:rPr>
          <w:rFonts w:ascii="Calibri" w:cs="Calibri" w:eastAsia="Calibri" w:hAnsi="Calibri"/>
          <w:b w:val="false"/>
          <w:bCs w:val="false"/>
          <w:i w:val="false"/>
          <w:iCs w:val="false"/>
          <w:color w:val="000000"/>
          <w:sz w:val="20"/>
          <w:szCs w:val="20"/>
        </w:rPr>
        <w:t xml:space="preserve">AIA305 Sample.csv is 474 of 589 rows in the demo corpus — 80%. A flat top-N AIO cap fills with AIA305 records by traversal score alone, starving the operational CSVs (acc_rfis, acc_issues, acc_submittals, acc_vendors, acc_cost_codes).</w:t>
      </w:r>
    </w:p>
    <w:p>
      <w:pPr>
        <w:pStyle w:val="Heading2"/>
        <w:spacing w:after="100" w:before="220"/>
      </w:pPr>
      <w:r>
        <w:rPr>
          <w:rFonts w:ascii="Calibri" w:cs="Calibri" w:eastAsia="Calibri" w:hAnsi="Calibri"/>
          <w:b/>
          <w:bCs/>
          <w:color w:val="2E5090"/>
          <w:sz w:val="26"/>
          <w:szCs w:val="26"/>
        </w:rPr>
        <w:t xml:space="preserve">2.2 Cross-CSV redundancy</w:t>
      </w:r>
    </w:p>
    <w:p>
      <w:pPr>
        <w:spacing w:after="60" w:before="60"/>
        <w:jc w:val="left"/>
      </w:pPr>
      <w:r>
        <w:rPr>
          <w:rFonts w:ascii="Calibri" w:cs="Calibri" w:eastAsia="Calibri" w:hAnsi="Calibri"/>
          <w:b w:val="false"/>
          <w:bCs w:val="false"/>
          <w:i w:val="false"/>
          <w:iCs w:val="false"/>
          <w:color w:val="000000"/>
          <w:sz w:val="20"/>
          <w:szCs w:val="20"/>
        </w:rPr>
        <w:t xml:space="preserve">The same project entity often appears in two CSVs with ~85%+ overlapping bracket-element sets — e.g. PRJ-003 in acc_projects.csv and AIA305 Sample.csv. Both reach the LLM as redundant context, burning tokens and forcing the model to reconcile near-duplicates.</w:t>
      </w:r>
    </w:p>
    <w:p>
      <w:r>
        <w:br w:type="page"/>
      </w:r>
    </w:p>
    <w:p>
      <w:pPr>
        <w:pStyle w:val="Heading1"/>
        <w:spacing w:after="140" w:before="280"/>
      </w:pPr>
      <w:r>
        <w:rPr>
          <w:rFonts w:ascii="Calibri" w:cs="Calibri" w:eastAsia="Calibri" w:hAnsi="Calibri"/>
          <w:b/>
          <w:bCs/>
          <w:color w:val="1F3864"/>
          <w:sz w:val="32"/>
          <w:szCs w:val="32"/>
        </w:rPr>
        <w:t xml:space="preserve">3. Cap-by-CSV Diversity</w:t>
      </w:r>
    </w:p>
    <w:p>
      <w:pPr>
        <w:pStyle w:val="Heading2"/>
        <w:spacing w:after="100" w:before="220"/>
      </w:pPr>
      <w:r>
        <w:rPr>
          <w:rFonts w:ascii="Calibri" w:cs="Calibri" w:eastAsia="Calibri" w:hAnsi="Calibri"/>
          <w:b/>
          <w:bCs/>
          <w:color w:val="2E5090"/>
          <w:sz w:val="26"/>
          <w:szCs w:val="26"/>
        </w:rPr>
        <w:t xml:space="preserve">3.1 Algorithm</w:t>
      </w:r>
    </w:p>
    <w:p>
      <w:pPr>
        <w:shd w:fill="F2F2F2" w:val="clear"/>
        <w:spacing w:after="80" w:before="80"/>
      </w:pPr>
      <w:r>
        <w:rPr>
          <w:rFonts w:ascii="Consolas" w:cs="Consolas" w:eastAsia="Consolas" w:hAnsi="Consolas"/>
          <w:color w:val="111111"/>
          <w:sz w:val="17"/>
          <w:szCs w:val="17"/>
        </w:rPr>
        <w:t xml:space="preserve">function diversifyByCSV(items, getCSV, total):
  if items.length &lt;= total: return items.slice()
  buckets = {}                 # CSV → [items in input order]
  order = []                   # CSVs in first-seen order
  for item in items:
    k = getCSV(item)
    buckets[k] ||= []; order.push(k)  if first_seen
    buckets[k].push(item)
  perBucket = max(1, floor(total / order.length))
  picked = []
  for k in order:                       # PASS 1: fair share
    picked.push(...buckets[k].slice(0, perBucket))
  if picked.length &lt; total:             # PASS 2: backfill
    for item in items:
      if not picked.includes(item):
        picked.push(item)
      if picked.length &gt;= total: break
  return picked</w:t>
      </w:r>
    </w:p>
    <w:p>
      <w:pPr>
        <w:spacing w:after="60" w:before="60"/>
        <w:jc w:val="left"/>
      </w:pPr>
      <w:r>
        <w:rPr>
          <w:rFonts w:ascii="Calibri" w:cs="Calibri" w:eastAsia="Calibri" w:hAnsi="Calibri"/>
          <w:b w:val="false"/>
          <w:bCs w:val="false"/>
          <w:i w:val="false"/>
          <w:iCs w:val="false"/>
          <w:color w:val="000000"/>
          <w:sz w:val="20"/>
          <w:szCs w:val="20"/>
        </w:rPr>
        <w:t xml:space="preserve">Properties: never exceeds total · single-CSV bucket with one item still keeps that item · input order within each bucket preserved (rank-stable) · idempotent · O(n).</w:t>
      </w:r>
    </w:p>
    <w:p>
      <w:pPr>
        <w:pStyle w:val="Heading2"/>
        <w:spacing w:after="100" w:before="220"/>
      </w:pPr>
      <w:r>
        <w:rPr>
          <w:rFonts w:ascii="Calibri" w:cs="Calibri" w:eastAsia="Calibri" w:hAnsi="Calibri"/>
          <w:b/>
          <w:bCs/>
          <w:color w:val="2E5090"/>
          <w:sz w:val="26"/>
          <w:szCs w:val="26"/>
        </w:rPr>
        <w:t xml:space="preserve">3.2 Two implementations, byte-equivalent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bCs/>
                <w:color w:val="000000"/>
                <w:sz w:val="18"/>
                <w:szCs w:val="18"/>
              </w:rPr>
              <w:t xml:space="preserve">Implementation</w:t>
            </w:r>
          </w:p>
        </w:tc>
        <w:tc>
          <w:tcPr>
            <w:tcW w:type="dxa" w:w="2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bCs/>
                <w:color w:val="000000"/>
                <w:sz w:val="18"/>
                <w:szCs w:val="18"/>
              </w:rPr>
              <w:t xml:space="preserve">Where</w:t>
            </w:r>
          </w:p>
        </w:tc>
        <w:tc>
          <w:tcPr>
            <w:tcW w:type="dxa" w:w="35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bCs/>
                <w:color w:val="000000"/>
                <w:sz w:val="18"/>
                <w:szCs w:val="18"/>
              </w:rPr>
              <w:t xml:space="preserve">Used by</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diversifyByCSV&lt;T&gt;(items, getCSV, total)</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lib/aio-math.ts (TypeScript)</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Recall pipeline (frontend, runChatPipeline → assembleBundle)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diversify_by_csv(records, total)</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infophysics_impl_grade/api/search_helpers.py (Python)</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Live Search (backend, /v1/op/aio-search context_section build + shipped_records for citations)</w:t>
            </w:r>
          </w:p>
        </w:tc>
      </w:tr>
    </w:tbl>
    <w:p>
      <w:pPr>
        <w:spacing w:after="60" w:before="60"/>
        <w:jc w:val="left"/>
      </w:pPr>
      <w:r>
        <w:rPr>
          <w:rFonts w:ascii="Calibri" w:cs="Calibri" w:eastAsia="Calibri" w:hAnsi="Calibri"/>
          <w:b w:val="false"/>
          <w:bCs w:val="false"/>
          <w:i w:val="false"/>
          <w:iCs w:val="false"/>
          <w:color w:val="000000"/>
          <w:sz w:val="20"/>
          <w:szCs w:val="20"/>
        </w:rPr>
        <w:t xml:space="preserve">Both bucket on OriginalCSV. The Python version extracts via regex /\[OriginalCSV\.([^\]]+)\]/ on the record string; the TypeScript version reads parsed AIO elements. The selections are bytewise equivalent on identical input.</w:t>
      </w:r>
    </w:p>
    <w:p>
      <w:pPr>
        <w:pStyle w:val="Heading2"/>
        <w:spacing w:after="100" w:before="220"/>
      </w:pPr>
      <w:r>
        <w:rPr>
          <w:rFonts w:ascii="Calibri" w:cs="Calibri" w:eastAsia="Calibri" w:hAnsi="Calibri"/>
          <w:b/>
          <w:bCs/>
          <w:color w:val="2E5090"/>
          <w:sz w:val="26"/>
          <w:szCs w:val="26"/>
        </w:rPr>
        <w:t xml:space="preserve">3.3 Effect on the PRJ-003 benchmark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bCs/>
                <w:color w:val="000000"/>
                <w:sz w:val="18"/>
                <w:szCs w:val="18"/>
              </w:rPr>
              <w:t xml:space="preserve">CSV</w:t>
            </w:r>
          </w:p>
        </w:tc>
        <w:tc>
          <w:tcPr>
            <w:tcW w:type="dxa" w:w="2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bCs/>
                <w:color w:val="000000"/>
                <w:sz w:val="18"/>
                <w:szCs w:val="18"/>
              </w:rPr>
              <w:t xml:space="preserve">Pre-fix (40 cap)</w:t>
            </w:r>
          </w:p>
        </w:tc>
        <w:tc>
          <w:tcPr>
            <w:tcW w:type="dxa" w:w="2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bCs/>
                <w:color w:val="000000"/>
                <w:sz w:val="18"/>
                <w:szCs w:val="18"/>
              </w:rPr>
              <w:t xml:space="preserve">Post-fix (40 cap)</w:t>
            </w:r>
          </w:p>
        </w:tc>
        <w:tc>
          <w:tcPr>
            <w:tcW w:type="dxa" w:w="25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bCs/>
                <w:color w:val="000000"/>
                <w:sz w:val="18"/>
                <w:szCs w:val="18"/>
              </w:rPr>
              <w:t xml:space="preserve">Records in corpus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AIA305 Sample.csv</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40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8</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474</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acc_cost_codes.csv</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4</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38</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acc_vendors.csv</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4</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15</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acc_submittals.csv</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4</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14</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acc_employees.csv</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4</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13</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acc_rfis.csv</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4</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10</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acc_issues.csv</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4</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10</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acc_customers.csv</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4</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8</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acc_projects.csv</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4</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7</w:t>
            </w:r>
          </w:p>
        </w:tc>
      </w:tr>
    </w:tbl>
    <w:p>
      <w:pPr>
        <w:spacing w:after="60" w:before="60"/>
        <w:jc w:val="left"/>
      </w:pPr>
      <w:r>
        <w:rPr>
          <w:rFonts w:ascii="Calibri" w:cs="Calibri" w:eastAsia="Calibri" w:hAnsi="Calibri"/>
          <w:b w:val="false"/>
          <w:bCs w:val="false"/>
          <w:i w:val="false"/>
          <w:iCs w:val="false"/>
          <w:color w:val="000000"/>
          <w:sz w:val="20"/>
          <w:szCs w:val="20"/>
        </w:rPr>
        <w:t xml:space="preserve">Result: every operational CSV is represented, multi-CSV joins succeed, AIA305 still gets 20% of the cap (its proportional fair share when 9 buckets compete for 40 slots).</w:t>
      </w:r>
    </w:p>
    <w:p>
      <w:r>
        <w:br w:type="page"/>
      </w:r>
    </w:p>
    <w:p>
      <w:pPr>
        <w:pStyle w:val="Heading1"/>
        <w:spacing w:after="140" w:before="280"/>
      </w:pPr>
      <w:r>
        <w:rPr>
          <w:rFonts w:ascii="Calibri" w:cs="Calibri" w:eastAsia="Calibri" w:hAnsi="Calibri"/>
          <w:b/>
          <w:bCs/>
          <w:color w:val="1F3864"/>
          <w:sz w:val="32"/>
          <w:szCs w:val="32"/>
        </w:rPr>
        <w:t xml:space="preserve">4. Element-set Jaccard Dedup</w:t>
      </w:r>
    </w:p>
    <w:p>
      <w:pPr>
        <w:pStyle w:val="Heading2"/>
        <w:spacing w:after="100" w:before="220"/>
      </w:pPr>
      <w:r>
        <w:rPr>
          <w:rFonts w:ascii="Calibri" w:cs="Calibri" w:eastAsia="Calibri" w:hAnsi="Calibri"/>
          <w:b/>
          <w:bCs/>
          <w:color w:val="2E5090"/>
          <w:sz w:val="26"/>
          <w:szCs w:val="26"/>
        </w:rPr>
        <w:t xml:space="preserve">4.1 Algorithm</w:t>
      </w:r>
    </w:p>
    <w:p>
      <w:pPr>
        <w:shd w:fill="F2F2F2" w:val="clear"/>
        <w:spacing w:after="80" w:before="80"/>
      </w:pPr>
      <w:r>
        <w:rPr>
          <w:rFonts w:ascii="Consolas" w:cs="Consolas" w:eastAsia="Consolas" w:hAnsi="Consolas"/>
          <w:color w:val="111111"/>
          <w:sz w:val="17"/>
          <w:szCs w:val="17"/>
        </w:rPr>
        <w:t xml:space="preserve">function dedupByJaccard(aios, threshold = 0.85):
  if aios.length &lt;= 1 or threshold &gt;= 1: return aios.slice()
  kept = []
  keptSets = []
  for candidate in aios:                 # input order = rank order
    candSet = aioElementSet(candidate)
    if any(jaccardOf(candSet, ks) &gt;= threshold for ks in keptSets):
      drop                               # near-dup of higher-ranked AIO
    else:
      kept.push(candidate)
      keptSets.push(candSet)
  return kept
function aioElementSet(aio):
  out = new Set()
  for el in aio.elements:
    k = el.key.toLowerCase()
    if k in {originalcsv, filedate, filetime}: continue   # provenance
    out.add(`${k}.${el.value.toLowerCase()}`)
  return out
function jaccardOf(a, b):
  inter = |a ∩ b|; union = |a ∪ b|
  return inter / union     // 0..1; 1 = identical, 0 = disjoint</w:t>
      </w:r>
    </w:p>
    <w:p>
      <w:pPr>
        <w:spacing w:after="60" w:before="60"/>
        <w:jc w:val="left"/>
      </w:pPr>
      <w:r>
        <w:rPr>
          <w:rFonts w:ascii="Calibri" w:cs="Calibri" w:eastAsia="Calibri" w:hAnsi="Calibri"/>
          <w:b w:val="false"/>
          <w:bCs w:val="false"/>
          <w:i w:val="false"/>
          <w:iCs w:val="false"/>
          <w:color w:val="000000"/>
          <w:sz w:val="20"/>
          <w:szCs w:val="20"/>
        </w:rPr>
        <w:t xml:space="preserve">Properties: earlier-ranked AIOs win · provenance-only differences don't prevent collapse · O(N²) on substrate cap (40 in Recall, ≤300 in Live — both tractable).</w:t>
      </w:r>
    </w:p>
    <w:p>
      <w:pPr>
        <w:pStyle w:val="Heading2"/>
        <w:spacing w:after="100" w:before="220"/>
      </w:pPr>
      <w:r>
        <w:rPr>
          <w:rFonts w:ascii="Calibri" w:cs="Calibri" w:eastAsia="Calibri" w:hAnsi="Calibri"/>
          <w:b/>
          <w:bCs/>
          <w:color w:val="2E5090"/>
          <w:sz w:val="26"/>
          <w:szCs w:val="26"/>
        </w:rPr>
        <w:t xml:space="preserve">4.2 Threshold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560"/>
      </w:tblGrid>
      <w:tr>
        <w:tc>
          <w:tcPr>
            <w:tcW w:type="dxa" w:w="1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bCs/>
                <w:color w:val="000000"/>
                <w:sz w:val="18"/>
                <w:szCs w:val="18"/>
              </w:rPr>
              <w:t xml:space="preserve">Threshold</w:t>
            </w:r>
          </w:p>
        </w:tc>
        <w:tc>
          <w:tcPr>
            <w:tcW w:type="dxa" w:w="4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bCs/>
                <w:color w:val="000000"/>
                <w:sz w:val="18"/>
                <w:szCs w:val="18"/>
              </w:rPr>
              <w:t xml:space="preserve">Behavior</w:t>
            </w:r>
          </w:p>
        </w:tc>
        <w:tc>
          <w:tcPr>
            <w:tcW w:type="dxa" w:w="35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bCs/>
                <w:color w:val="000000"/>
                <w:sz w:val="18"/>
                <w:szCs w:val="18"/>
              </w:rPr>
              <w:t xml:space="preserve">When to use</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0.95</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Byte-near records only; almost no collapse</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Diagnostic mode — see every retrieved AIO</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0.85 (default)</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Same entity across CSVs collapses; legitimate field differences (status, dates, single replaced value) stay distinct</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Production default — best signal/noise</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0.70</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Aggressive — partial-overlap fragments of the same entity collapse</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When dedup is more important than nuance</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0.50</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Loose — entire entity families collapse to representatives</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Smoke testing; not recommended for production</w:t>
            </w:r>
          </w:p>
        </w:tc>
      </w:tr>
    </w:tbl>
    <w:p>
      <w:pPr>
        <w:pStyle w:val="Heading2"/>
        <w:spacing w:after="100" w:before="220"/>
      </w:pPr>
      <w:r>
        <w:rPr>
          <w:rFonts w:ascii="Calibri" w:cs="Calibri" w:eastAsia="Calibri" w:hAnsi="Calibri"/>
          <w:b/>
          <w:bCs/>
          <w:color w:val="2E5090"/>
          <w:sz w:val="26"/>
          <w:szCs w:val="26"/>
        </w:rPr>
        <w:t xml:space="preserve">4.3 Why Provenance Keys Are Excluded</w:t>
      </w:r>
    </w:p>
    <w:p>
      <w:pPr>
        <w:spacing w:after="60" w:before="60"/>
        <w:jc w:val="left"/>
      </w:pPr>
      <w:r>
        <w:rPr>
          <w:rFonts w:ascii="Calibri" w:cs="Calibri" w:eastAsia="Calibri" w:hAnsi="Calibri"/>
          <w:b w:val="false"/>
          <w:bCs w:val="false"/>
          <w:i w:val="false"/>
          <w:iCs w:val="false"/>
          <w:color w:val="000000"/>
          <w:sz w:val="20"/>
          <w:szCs w:val="20"/>
        </w:rPr>
        <w:t xml:space="preserve">Without exclusion, two AIOs that are identical except for [OriginalCSV.acc_projects.csv] vs. [OriginalCSV.AIA305 Sample.csv] would Jaccard at ~0.92 — close, but the source-stamp difference would prevent collapse on a 0.95 threshold and force a much lower threshold default. By dropping (OriginalCSV, FileDate, FileTime) from comparison, the same entity ingested through two pipelines collapses correctly at 0.85 while real field differences (a status change, an updated dollar value) reliably stay distinct.</w:t>
      </w:r>
    </w:p>
    <w:p>
      <w:pPr>
        <w:pStyle w:val="Heading2"/>
        <w:spacing w:after="100" w:before="220"/>
      </w:pPr>
      <w:r>
        <w:rPr>
          <w:rFonts w:ascii="Calibri" w:cs="Calibri" w:eastAsia="Calibri" w:hAnsi="Calibri"/>
          <w:b/>
          <w:bCs/>
          <w:color w:val="2E5090"/>
          <w:sz w:val="26"/>
          <w:szCs w:val="26"/>
        </w:rPr>
        <w:t xml:space="preserve">4.4 Wiring</w:t>
      </w:r>
    </w:p>
    <w:p>
      <w:pPr>
        <w:shd w:fill="F2F2F2" w:val="clear"/>
        <w:spacing w:after="80" w:before="80"/>
      </w:pPr>
      <w:r>
        <w:rPr>
          <w:rFonts w:ascii="Consolas" w:cs="Consolas" w:eastAsia="Consolas" w:hAnsi="Consolas"/>
          <w:color w:val="111111"/>
          <w:sz w:val="17"/>
          <w:szCs w:val="17"/>
        </w:rPr>
        <w:t xml:space="preserve">// lib/aio-math.ts — assembleBundle()
const capped = diversifyByCSV(ranked, getOriginalCSV, maxAios)
const seedAios = options.jaccardDedup === false
  ? capped
  : dedupByJaccard(capped, options.jaccardThreshold ?? 0.85)
</w:t>
      </w:r>
    </w:p>
    <w:p>
      <w:pPr>
        <w:spacing w:after="60" w:before="60"/>
        <w:jc w:val="left"/>
      </w:pPr>
      <w:r>
        <w:rPr>
          <w:rFonts w:ascii="Calibri" w:cs="Calibri" w:eastAsia="Calibri" w:hAnsi="Calibri"/>
          <w:b w:val="false"/>
          <w:bCs w:val="false"/>
          <w:i w:val="false"/>
          <w:iCs w:val="false"/>
          <w:color w:val="000000"/>
          <w:sz w:val="20"/>
          <w:szCs w:val="20"/>
        </w:rPr>
        <w:t xml:space="preserve">Disable per-call for diagnostics: `assembleBundle(..., { jaccardDedup: false })`. The benchmark runner currently uses the defaults; trace_recall.ts could be extended to log the dedup count if needed.</w:t>
      </w:r>
    </w:p>
    <w:p>
      <w:r>
        <w:br w:type="page"/>
      </w:r>
    </w:p>
    <w:p>
      <w:pPr>
        <w:pStyle w:val="Heading1"/>
        <w:spacing w:after="140" w:before="280"/>
      </w:pPr>
      <w:r>
        <w:rPr>
          <w:rFonts w:ascii="Calibri" w:cs="Calibri" w:eastAsia="Calibri" w:hAnsi="Calibri"/>
          <w:b/>
          <w:bCs/>
          <w:color w:val="1F3864"/>
          <w:sz w:val="32"/>
          <w:szCs w:val="32"/>
        </w:rPr>
        <w:t xml:space="preserve">5. Diagnostics</w:t>
      </w:r>
    </w:p>
    <w:p>
      <w:pPr>
        <w:spacing w:after="60" w:before="60"/>
        <w:jc w:val="left"/>
      </w:pPr>
      <w:r>
        <w:rPr>
          <w:rFonts w:ascii="Calibri" w:cs="Calibri" w:eastAsia="Calibri" w:hAnsi="Calibri"/>
          <w:b w:val="false"/>
          <w:bCs w:val="false"/>
          <w:i w:val="false"/>
          <w:iCs w:val="false"/>
          <w:color w:val="000000"/>
          <w:sz w:val="20"/>
          <w:szCs w:val="20"/>
        </w:rPr>
        <w:t xml:space="preserve">To compare pre/post dedup behavior on a specific query without touching production:</w:t>
      </w:r>
    </w:p>
    <w:p>
      <w:pPr>
        <w:shd w:fill="F2F2F2" w:val="clear"/>
        <w:spacing w:after="80" w:before="80"/>
      </w:pPr>
      <w:r>
        <w:rPr>
          <w:rFonts w:ascii="Consolas" w:cs="Consolas" w:eastAsia="Consolas" w:hAnsi="Consolas"/>
          <w:color w:val="111111"/>
          <w:sz w:val="17"/>
          <w:szCs w:val="17"/>
        </w:rPr>
        <w:t xml:space="preserve"># Run with default dedup (0.85)
BENCHMARK=1 MRO_BYPASS=1 pnpm dlx tsx scripts/trace_recall.ts
# Inspect /tmp/recall_trace.json:
#   trace.aios.sent_to_llm.length        # post-dedup count
#   trace.aios.neighborhood_size         # pre-cap candidate count</w:t>
      </w:r>
    </w:p>
    <w:p>
      <w:pPr>
        <w:pStyle w:val="Heading1"/>
        <w:spacing w:after="140" w:before="280"/>
      </w:pPr>
      <w:r>
        <w:rPr>
          <w:rFonts w:ascii="Calibri" w:cs="Calibri" w:eastAsia="Calibri" w:hAnsi="Calibri"/>
          <w:b/>
          <w:bCs/>
          <w:color w:val="1F3864"/>
          <w:sz w:val="32"/>
          <w:szCs w:val="32"/>
        </w:rPr>
        <w:t xml:space="preserve">6. Open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bCs/>
                <w:color w:val="000000"/>
                <w:sz w:val="18"/>
                <w:szCs w:val="18"/>
              </w:rPr>
              <w:t xml:space="preserve">Item</w:t>
            </w:r>
          </w:p>
        </w:tc>
        <w:tc>
          <w:tcPr>
            <w:tcW w:type="dxa" w:w="65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bCs/>
                <w:color w:val="000000"/>
                <w:sz w:val="18"/>
                <w:szCs w:val="18"/>
              </w:rPr>
              <w:t xml:space="preserve">Description</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Per-CSV cap floors</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Today every CSV gets the same per-bucket share. A floor (e.g. "never give acc_projects fewer than 2 slots") would handle CSVs that should always be present even when other buckets are wide</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Adaptive Jaccard threshold</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Vary the threshold per query type: tighter for diagnostic queries, looser for narrative-summary queries. Currently a single global default</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Reverse-Jaccard backstop</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When dedup drops a candidate, optionally promote one of its kept-set neighbors that survived only by being an early-rank singleton. Prevents over-collapse on high-redundancy corpora</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Cluster-and-summarize</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Stage 3: instead of dropping near-dups, send one canonical representative plus a synthetic [Sources.csv1|csv2|csv3] element so the LLM knows the entity is multi-sourced. More work, more useful</w:t>
            </w:r>
          </w:p>
        </w:tc>
      </w:tr>
    </w:tbl>
    <w:p>
      <w:pPr>
        <w:pStyle w:val="Heading1"/>
        <w:spacing w:after="140" w:before="280"/>
      </w:pPr>
      <w:r>
        <w:rPr>
          <w:rFonts w:ascii="Calibri" w:cs="Calibri" w:eastAsia="Calibri" w:hAnsi="Calibri"/>
          <w:b/>
          <w:bCs/>
          <w:color w:val="1F3864"/>
          <w:sz w:val="32"/>
          <w:szCs w:val="32"/>
        </w:rPr>
        <w:t xml:space="preserve">7. Provenance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bCs/>
                <w:color w:val="000000"/>
                <w:sz w:val="18"/>
                <w:szCs w:val="18"/>
              </w:rPr>
              <w:t xml:space="preserve">File</w:t>
            </w:r>
          </w:p>
        </w:tc>
        <w:tc>
          <w:tcPr>
            <w:tcW w:type="dxa" w:w="59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bCs/>
                <w:color w:val="000000"/>
                <w:sz w:val="18"/>
                <w:szCs w:val="18"/>
              </w:rPr>
              <w:t xml:space="preserve">Contribution</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lib/aio-math.ts</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diversifyByCSV, dedupByJaccard, aioElementSet, jaccardOf, integration in assembleBundle</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api/search_helpers.py</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diversify_by_csv (Python mirror); _csv_of_record regex</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api/routes/chat.py</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Wires diversify_by_csv into Live Search's context_section assembly + shipped_records</w:t>
            </w:r>
          </w:p>
        </w:tc>
      </w:tr>
    </w:tbl>
    <w:p>
      <w:pPr>
        <w:spacing w:after="60" w:before="60"/>
        <w:jc w:val="left"/>
      </w:pPr>
      <w:r>
        <w:rPr>
          <w:rFonts w:ascii="Calibri" w:cs="Calibri" w:eastAsia="Calibri" w:hAnsi="Calibri"/>
          <w:b w:val="false"/>
          <w:bCs w:val="false"/>
          <w:i w:val="false"/>
          <w:iCs w:val="false"/>
          <w:color w:val="000000"/>
          <w:sz w:val="20"/>
          <w:szCs w:val="20"/>
        </w:rPr>
        <w:t xml:space="preserve"/>
      </w:r>
    </w:p>
    <w:p>
      <w:pPr>
        <w:spacing w:after="60" w:before="320"/>
        <w:jc w:val="center"/>
      </w:pPr>
      <w:r>
        <w:rPr>
          <w:rFonts w:ascii="Calibri" w:cs="Calibri" w:eastAsia="Calibri" w:hAnsi="Calibri"/>
          <w:b w:val="false"/>
          <w:bCs w:val="false"/>
          <w:i/>
          <w:iCs/>
          <w:color w:val="2E5090"/>
          <w:sz w:val="20"/>
          <w:szCs w:val="20"/>
        </w:rPr>
        <w:t xml:space="preserve">End of document.</w:t>
      </w:r>
    </w:p>
    <w:p>
      <w:pPr>
        <w:spacing w:after="60" w:before="60"/>
        <w:jc w:val="center"/>
      </w:pPr>
      <w:r>
        <w:rPr>
          <w:rFonts w:ascii="Calibri" w:cs="Calibri" w:eastAsia="Calibri" w:hAnsi="Calibri"/>
          <w:b w:val="false"/>
          <w:bCs w:val="false"/>
          <w:i/>
          <w:iCs/>
          <w:color w:val="808080"/>
          <w:sz w:val="16"/>
          <w:szCs w:val="16"/>
        </w:rPr>
        <w:t xml:space="preserve">Generated 2026-04-29T16:42:01.932Z · Information Physics V4.5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2E5090"/>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2E509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2026-04-29T16:42:01.932Z</dcterms:created>
  <dcterms:modified xsi:type="dcterms:W3CDTF">2026-04-29T16:42:01.932Z</dcterms:modified>
</cp:coreProperties>
</file>

<file path=docProps/custom.xml><?xml version="1.0" encoding="utf-8"?>
<Properties xmlns="http://schemas.openxmlformats.org/officeDocument/2006/custom-properties" xmlns:vt="http://schemas.openxmlformats.org/officeDocument/2006/docPropsVTypes"/>
</file>